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3FE15F89" w:rsidR="00C869F3" w:rsidRDefault="00170454" w:rsidP="00F55B78">
      <w:pPr>
        <w:spacing w:after="480"/>
      </w:pPr>
      <w:r>
        <w:t xml:space="preserve"> </w:t>
      </w:r>
      <w:r w:rsidR="00C869F3">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29E40709">
        <w:trPr>
          <w:tblHeader/>
        </w:trPr>
        <w:tc>
          <w:tcPr>
            <w:tcW w:w="3397" w:type="dxa"/>
            <w:tcBorders>
              <w:bottom w:val="single" w:sz="18" w:space="0" w:color="auto"/>
            </w:tcBorders>
          </w:tcPr>
          <w:p w14:paraId="10F9A427" w14:textId="77777777" w:rsidR="00333FAA" w:rsidRPr="00B805DB" w:rsidRDefault="005811F8" w:rsidP="00F55B78">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55B78">
            <w:pPr>
              <w:pStyle w:val="Heading1"/>
              <w:outlineLvl w:val="0"/>
              <w:rPr>
                <w:szCs w:val="24"/>
              </w:rPr>
            </w:pPr>
            <w:r w:rsidRPr="005E3A10">
              <w:t>Cabinet</w:t>
            </w:r>
          </w:p>
        </w:tc>
      </w:tr>
      <w:tr w:rsidR="00333FAA" w14:paraId="67D60646" w14:textId="77777777" w:rsidTr="00393434">
        <w:trPr>
          <w:trHeight w:val="705"/>
        </w:trPr>
        <w:tc>
          <w:tcPr>
            <w:tcW w:w="3397" w:type="dxa"/>
            <w:tcBorders>
              <w:top w:val="single" w:sz="18" w:space="0" w:color="auto"/>
            </w:tcBorders>
          </w:tcPr>
          <w:p w14:paraId="4DDB5947" w14:textId="0CB465A0" w:rsidR="00333FAA" w:rsidRPr="00C13A5F" w:rsidRDefault="00333FAA" w:rsidP="00F55B78">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2B3530DE" w:rsidR="00333FAA" w:rsidRPr="00502FCD" w:rsidRDefault="00502FCD" w:rsidP="00F55B78">
            <w:pPr>
              <w:rPr>
                <w:rFonts w:cs="Arial"/>
                <w:szCs w:val="24"/>
              </w:rPr>
            </w:pPr>
            <w:r w:rsidRPr="00502FCD">
              <w:rPr>
                <w:rFonts w:cs="Arial"/>
                <w:szCs w:val="24"/>
              </w:rPr>
              <w:t xml:space="preserve">19 </w:t>
            </w:r>
            <w:r w:rsidR="00685A1F" w:rsidRPr="00502FCD">
              <w:rPr>
                <w:rFonts w:cs="Arial"/>
                <w:szCs w:val="24"/>
              </w:rPr>
              <w:t>January</w:t>
            </w:r>
            <w:r w:rsidR="00773E7D" w:rsidRPr="00502FCD">
              <w:rPr>
                <w:rFonts w:cs="Arial"/>
                <w:szCs w:val="24"/>
              </w:rPr>
              <w:t xml:space="preserve"> 2023</w:t>
            </w:r>
          </w:p>
        </w:tc>
      </w:tr>
      <w:tr w:rsidR="00333FAA" w14:paraId="3CC97725" w14:textId="77777777" w:rsidTr="29E40709">
        <w:tc>
          <w:tcPr>
            <w:tcW w:w="3397" w:type="dxa"/>
          </w:tcPr>
          <w:p w14:paraId="18BB8951" w14:textId="77777777" w:rsidR="00333FAA" w:rsidRPr="00C13A5F" w:rsidRDefault="00333FAA" w:rsidP="00F55B78">
            <w:pPr>
              <w:pStyle w:val="Infotext"/>
              <w:spacing w:after="240"/>
              <w:rPr>
                <w:rFonts w:ascii="Arial Black" w:hAnsi="Arial Black"/>
              </w:rPr>
            </w:pPr>
            <w:r w:rsidRPr="00C13A5F">
              <w:rPr>
                <w:rFonts w:ascii="Arial Black" w:hAnsi="Arial Black" w:cs="Arial"/>
              </w:rPr>
              <w:t>Subject:</w:t>
            </w:r>
          </w:p>
        </w:tc>
        <w:tc>
          <w:tcPr>
            <w:tcW w:w="4912" w:type="dxa"/>
          </w:tcPr>
          <w:p w14:paraId="6D8FB2C1" w14:textId="5C35E6F2" w:rsidR="00A8240D" w:rsidRPr="007074B3" w:rsidRDefault="00A8240D" w:rsidP="00F55B78">
            <w:pPr>
              <w:rPr>
                <w:rFonts w:cs="Arial"/>
                <w:color w:val="FF0000"/>
                <w:szCs w:val="24"/>
              </w:rPr>
            </w:pPr>
            <w:r>
              <w:rPr>
                <w:rFonts w:cs="Arial"/>
                <w:szCs w:val="24"/>
              </w:rPr>
              <w:t xml:space="preserve">Housing </w:t>
            </w:r>
            <w:r w:rsidR="00873391">
              <w:rPr>
                <w:rFonts w:cs="Arial"/>
                <w:szCs w:val="24"/>
              </w:rPr>
              <w:t>Asset Management Strategy</w:t>
            </w:r>
            <w:r w:rsidR="003F1471">
              <w:rPr>
                <w:rFonts w:cs="Arial"/>
                <w:szCs w:val="24"/>
              </w:rPr>
              <w:t xml:space="preserve"> </w:t>
            </w:r>
          </w:p>
        </w:tc>
      </w:tr>
      <w:tr w:rsidR="00333FAA" w14:paraId="32449166" w14:textId="77777777" w:rsidTr="29E40709">
        <w:tc>
          <w:tcPr>
            <w:tcW w:w="3397" w:type="dxa"/>
          </w:tcPr>
          <w:p w14:paraId="17ECA8FA" w14:textId="77777777" w:rsidR="00333FAA" w:rsidRPr="00C13A5F" w:rsidRDefault="00333FAA" w:rsidP="00F55B78">
            <w:pPr>
              <w:pStyle w:val="Infotext"/>
              <w:spacing w:after="240"/>
              <w:rPr>
                <w:rFonts w:ascii="Arial Black" w:hAnsi="Arial Black" w:cs="Arial"/>
              </w:rPr>
            </w:pPr>
            <w:r w:rsidRPr="00C13A5F">
              <w:rPr>
                <w:rFonts w:ascii="Arial Black" w:hAnsi="Arial Black" w:cs="Arial"/>
              </w:rPr>
              <w:t>Key Decision:</w:t>
            </w:r>
          </w:p>
        </w:tc>
        <w:tc>
          <w:tcPr>
            <w:tcW w:w="4912" w:type="dxa"/>
          </w:tcPr>
          <w:p w14:paraId="4AE49827" w14:textId="0E41464F" w:rsidR="001C7E35" w:rsidRPr="005E3A10" w:rsidRDefault="001C7E35" w:rsidP="00F55B78">
            <w:pPr>
              <w:pStyle w:val="Infotext"/>
              <w:rPr>
                <w:rFonts w:cs="Arial"/>
                <w:color w:val="FF0000"/>
                <w:sz w:val="24"/>
                <w:szCs w:val="24"/>
              </w:rPr>
            </w:pPr>
            <w:r w:rsidRPr="005E3A10">
              <w:rPr>
                <w:rFonts w:cs="Arial"/>
                <w:sz w:val="24"/>
                <w:szCs w:val="24"/>
              </w:rPr>
              <w:t xml:space="preserve">Yes </w:t>
            </w:r>
            <w:r w:rsidR="005735A8">
              <w:rPr>
                <w:rFonts w:cs="Arial"/>
                <w:sz w:val="24"/>
                <w:szCs w:val="24"/>
              </w:rPr>
              <w:t xml:space="preserve"> </w:t>
            </w:r>
          </w:p>
          <w:p w14:paraId="3EADF2B3" w14:textId="77777777" w:rsidR="00333FAA" w:rsidRPr="005E3A10" w:rsidRDefault="00333FAA" w:rsidP="00F55B78">
            <w:pPr>
              <w:rPr>
                <w:rFonts w:cs="Arial"/>
                <w:szCs w:val="24"/>
              </w:rPr>
            </w:pPr>
          </w:p>
        </w:tc>
      </w:tr>
      <w:tr w:rsidR="001C7E35" w14:paraId="79E96200" w14:textId="77777777" w:rsidTr="29E40709">
        <w:tc>
          <w:tcPr>
            <w:tcW w:w="3397" w:type="dxa"/>
          </w:tcPr>
          <w:p w14:paraId="0B8ABDC4" w14:textId="77777777" w:rsidR="001C7E35" w:rsidRPr="00C13A5F" w:rsidRDefault="001C7E35" w:rsidP="00F55B78">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33E7B2E3" w14:textId="2882A48A" w:rsidR="00181262" w:rsidRDefault="00181262" w:rsidP="00F55B78">
            <w:pPr>
              <w:pStyle w:val="Infotext"/>
              <w:rPr>
                <w:rFonts w:cs="Arial"/>
                <w:sz w:val="24"/>
                <w:szCs w:val="24"/>
              </w:rPr>
            </w:pPr>
            <w:r>
              <w:rPr>
                <w:rFonts w:cs="Arial"/>
                <w:sz w:val="24"/>
                <w:szCs w:val="24"/>
              </w:rPr>
              <w:t>Dipti Patel</w:t>
            </w:r>
            <w:r w:rsidR="0030783D">
              <w:rPr>
                <w:rFonts w:cs="Arial"/>
                <w:sz w:val="24"/>
                <w:szCs w:val="24"/>
              </w:rPr>
              <w:t xml:space="preserve"> - </w:t>
            </w:r>
            <w:r>
              <w:rPr>
                <w:rFonts w:cs="Arial"/>
                <w:sz w:val="24"/>
                <w:szCs w:val="24"/>
              </w:rPr>
              <w:t>Corporate Director</w:t>
            </w:r>
            <w:r w:rsidR="00502FCD">
              <w:rPr>
                <w:rFonts w:cs="Arial"/>
                <w:sz w:val="24"/>
                <w:szCs w:val="24"/>
              </w:rPr>
              <w:t xml:space="preserve"> of</w:t>
            </w:r>
            <w:r>
              <w:rPr>
                <w:rFonts w:cs="Arial"/>
                <w:sz w:val="24"/>
                <w:szCs w:val="24"/>
              </w:rPr>
              <w:t xml:space="preserve"> Place</w:t>
            </w:r>
            <w:r w:rsidR="00502FCD">
              <w:rPr>
                <w:rFonts w:cs="Arial"/>
                <w:sz w:val="24"/>
                <w:szCs w:val="24"/>
              </w:rPr>
              <w:t>;</w:t>
            </w:r>
          </w:p>
          <w:p w14:paraId="3A589465" w14:textId="57E31A29" w:rsidR="0028495D" w:rsidRPr="005E3A10" w:rsidRDefault="00533173" w:rsidP="00F55B78">
            <w:pPr>
              <w:pStyle w:val="Infotext"/>
              <w:rPr>
                <w:rFonts w:cs="Arial"/>
                <w:sz w:val="24"/>
                <w:szCs w:val="24"/>
              </w:rPr>
            </w:pPr>
            <w:r>
              <w:rPr>
                <w:rFonts w:cs="Arial"/>
                <w:sz w:val="24"/>
                <w:szCs w:val="24"/>
              </w:rPr>
              <w:t>David</w:t>
            </w:r>
            <w:r w:rsidR="00197F90">
              <w:rPr>
                <w:rFonts w:cs="Arial"/>
                <w:sz w:val="24"/>
                <w:szCs w:val="24"/>
              </w:rPr>
              <w:t xml:space="preserve"> Mc</w:t>
            </w:r>
            <w:r w:rsidR="00F55B78">
              <w:rPr>
                <w:rFonts w:cs="Arial"/>
                <w:sz w:val="24"/>
                <w:szCs w:val="24"/>
              </w:rPr>
              <w:t>N</w:t>
            </w:r>
            <w:r w:rsidR="00197F90">
              <w:rPr>
                <w:rFonts w:cs="Arial"/>
                <w:sz w:val="24"/>
                <w:szCs w:val="24"/>
              </w:rPr>
              <w:t>ulty</w:t>
            </w:r>
            <w:r w:rsidR="0030783D">
              <w:rPr>
                <w:rFonts w:cs="Arial"/>
                <w:sz w:val="24"/>
                <w:szCs w:val="24"/>
              </w:rPr>
              <w:t xml:space="preserve"> - </w:t>
            </w:r>
            <w:r w:rsidR="0028495D">
              <w:rPr>
                <w:rFonts w:cs="Arial"/>
                <w:sz w:val="24"/>
                <w:szCs w:val="24"/>
              </w:rPr>
              <w:t>Director of Housing</w:t>
            </w:r>
          </w:p>
          <w:p w14:paraId="3798BF23" w14:textId="77777777" w:rsidR="001C7E35" w:rsidRPr="005E3A10" w:rsidRDefault="001C7E35" w:rsidP="00F55B78">
            <w:pPr>
              <w:pStyle w:val="Infotext"/>
              <w:rPr>
                <w:rFonts w:cs="Arial"/>
                <w:sz w:val="24"/>
                <w:szCs w:val="24"/>
              </w:rPr>
            </w:pPr>
          </w:p>
        </w:tc>
      </w:tr>
      <w:tr w:rsidR="0028495D" w14:paraId="3B6FD8B1" w14:textId="77777777" w:rsidTr="29E40709">
        <w:tc>
          <w:tcPr>
            <w:tcW w:w="3397" w:type="dxa"/>
          </w:tcPr>
          <w:p w14:paraId="0961945D" w14:textId="2396143A" w:rsidR="0028495D" w:rsidRPr="00C13A5F" w:rsidRDefault="0028495D" w:rsidP="00F55B78">
            <w:pPr>
              <w:pStyle w:val="Infotext"/>
              <w:spacing w:after="240"/>
              <w:rPr>
                <w:rFonts w:ascii="Arial Black" w:hAnsi="Arial Black"/>
              </w:rPr>
            </w:pPr>
            <w:r w:rsidRPr="00DB6C3D">
              <w:rPr>
                <w:rFonts w:ascii="Arial Black" w:hAnsi="Arial Black"/>
              </w:rPr>
              <w:t>Portfolio Holder</w:t>
            </w:r>
            <w:r w:rsidR="001B070D">
              <w:rPr>
                <w:rFonts w:ascii="Arial Black" w:hAnsi="Arial Black"/>
              </w:rPr>
              <w:t>s</w:t>
            </w:r>
            <w:r w:rsidRPr="00DB6C3D">
              <w:rPr>
                <w:rFonts w:ascii="Arial Black" w:hAnsi="Arial Black"/>
              </w:rPr>
              <w:t>:</w:t>
            </w:r>
          </w:p>
        </w:tc>
        <w:tc>
          <w:tcPr>
            <w:tcW w:w="4912" w:type="dxa"/>
          </w:tcPr>
          <w:p w14:paraId="0E8B800D" w14:textId="40A67A9C" w:rsidR="00C43AC8" w:rsidRDefault="00C43AC8" w:rsidP="00F55B78">
            <w:r>
              <w:t>Councillor Mina Parmar - Portfolio Holder for Housing.</w:t>
            </w:r>
          </w:p>
          <w:p w14:paraId="39A9A01A" w14:textId="24BF1829" w:rsidR="004B57AF" w:rsidRPr="005E3A10" w:rsidRDefault="004B57AF" w:rsidP="00F55B78">
            <w:pPr>
              <w:pStyle w:val="Infotext"/>
              <w:rPr>
                <w:rFonts w:cs="Arial"/>
                <w:color w:val="FF0000"/>
                <w:sz w:val="24"/>
                <w:szCs w:val="24"/>
              </w:rPr>
            </w:pPr>
          </w:p>
        </w:tc>
      </w:tr>
      <w:tr w:rsidR="0028495D" w14:paraId="3CF618C8" w14:textId="77777777" w:rsidTr="29E40709">
        <w:tc>
          <w:tcPr>
            <w:tcW w:w="3397" w:type="dxa"/>
          </w:tcPr>
          <w:p w14:paraId="4CD8D092" w14:textId="77777777" w:rsidR="0028495D" w:rsidRPr="00C13A5F" w:rsidRDefault="0028495D" w:rsidP="00F55B78">
            <w:pPr>
              <w:pStyle w:val="Infotext"/>
              <w:spacing w:after="240"/>
              <w:rPr>
                <w:rFonts w:ascii="Arial Black" w:hAnsi="Arial Black"/>
              </w:rPr>
            </w:pPr>
            <w:r w:rsidRPr="00DB6C3D">
              <w:rPr>
                <w:rFonts w:ascii="Arial Black" w:hAnsi="Arial Black"/>
              </w:rPr>
              <w:t>Exempt:</w:t>
            </w:r>
          </w:p>
        </w:tc>
        <w:tc>
          <w:tcPr>
            <w:tcW w:w="4912" w:type="dxa"/>
          </w:tcPr>
          <w:p w14:paraId="34C65BD0" w14:textId="3694FCCF" w:rsidR="0028495D" w:rsidRPr="00D354CD" w:rsidRDefault="0028495D" w:rsidP="00F55B78">
            <w:pPr>
              <w:pStyle w:val="Infotext"/>
              <w:rPr>
                <w:rFonts w:cs="Arial"/>
                <w:sz w:val="24"/>
                <w:szCs w:val="24"/>
              </w:rPr>
            </w:pPr>
            <w:r w:rsidRPr="00D354CD">
              <w:rPr>
                <w:rFonts w:cs="Arial"/>
                <w:sz w:val="24"/>
                <w:szCs w:val="24"/>
              </w:rPr>
              <w:t>No</w:t>
            </w:r>
          </w:p>
          <w:p w14:paraId="755E47D1" w14:textId="77777777" w:rsidR="0028495D" w:rsidRPr="00D354CD" w:rsidRDefault="0028495D" w:rsidP="00F55B78">
            <w:pPr>
              <w:pStyle w:val="Infotext"/>
              <w:rPr>
                <w:rFonts w:cs="Arial"/>
                <w:color w:val="FF0000"/>
                <w:sz w:val="24"/>
                <w:szCs w:val="24"/>
              </w:rPr>
            </w:pPr>
          </w:p>
        </w:tc>
      </w:tr>
      <w:tr w:rsidR="0028495D" w14:paraId="577CD75A" w14:textId="77777777" w:rsidTr="29E40709">
        <w:tc>
          <w:tcPr>
            <w:tcW w:w="3397" w:type="dxa"/>
          </w:tcPr>
          <w:p w14:paraId="4821943C" w14:textId="77777777" w:rsidR="0028495D" w:rsidRPr="00C13A5F" w:rsidRDefault="0028495D" w:rsidP="00F55B78">
            <w:pPr>
              <w:pStyle w:val="Infotext"/>
              <w:spacing w:after="240"/>
              <w:rPr>
                <w:rFonts w:ascii="Arial Black" w:hAnsi="Arial Black"/>
              </w:rPr>
            </w:pPr>
            <w:r w:rsidRPr="00DB6C3D">
              <w:rPr>
                <w:rFonts w:ascii="Arial Black" w:hAnsi="Arial Black"/>
              </w:rPr>
              <w:t>Decision subject to Call-in:</w:t>
            </w:r>
          </w:p>
        </w:tc>
        <w:tc>
          <w:tcPr>
            <w:tcW w:w="4912" w:type="dxa"/>
          </w:tcPr>
          <w:p w14:paraId="4975B15D" w14:textId="77777777" w:rsidR="0062135D" w:rsidRDefault="0062135D" w:rsidP="00F55B78">
            <w:pPr>
              <w:pStyle w:val="Infotext"/>
              <w:rPr>
                <w:rFonts w:cs="Arial"/>
                <w:sz w:val="24"/>
                <w:szCs w:val="24"/>
              </w:rPr>
            </w:pPr>
          </w:p>
          <w:p w14:paraId="3A75E271" w14:textId="4578E1A8" w:rsidR="0028495D" w:rsidRPr="00D354CD" w:rsidRDefault="0028495D" w:rsidP="00F55B78">
            <w:pPr>
              <w:pStyle w:val="Infotext"/>
              <w:rPr>
                <w:rFonts w:cs="Arial"/>
                <w:szCs w:val="24"/>
              </w:rPr>
            </w:pPr>
            <w:r w:rsidRPr="00D354CD">
              <w:rPr>
                <w:rFonts w:cs="Arial"/>
                <w:sz w:val="24"/>
                <w:szCs w:val="24"/>
              </w:rPr>
              <w:t xml:space="preserve">Yes </w:t>
            </w:r>
          </w:p>
        </w:tc>
      </w:tr>
      <w:tr w:rsidR="0028495D" w14:paraId="7E5497E1" w14:textId="77777777" w:rsidTr="29E40709">
        <w:tc>
          <w:tcPr>
            <w:tcW w:w="3397" w:type="dxa"/>
          </w:tcPr>
          <w:p w14:paraId="6B5E6A6A" w14:textId="77777777" w:rsidR="0028495D" w:rsidRPr="00C13A5F" w:rsidRDefault="0028495D" w:rsidP="00F55B78">
            <w:pPr>
              <w:pStyle w:val="Infotext"/>
              <w:spacing w:after="240"/>
              <w:rPr>
                <w:rFonts w:ascii="Arial Black" w:hAnsi="Arial Black" w:cs="Arial"/>
              </w:rPr>
            </w:pPr>
            <w:r>
              <w:rPr>
                <w:rFonts w:ascii="Arial Black" w:hAnsi="Arial Black" w:cs="Arial"/>
              </w:rPr>
              <w:t>Wards affected:</w:t>
            </w:r>
          </w:p>
        </w:tc>
        <w:tc>
          <w:tcPr>
            <w:tcW w:w="4912" w:type="dxa"/>
          </w:tcPr>
          <w:p w14:paraId="52E38AE7" w14:textId="4C85B902" w:rsidR="0028495D" w:rsidRPr="00D354CD" w:rsidRDefault="0028495D" w:rsidP="00F55B78">
            <w:pPr>
              <w:rPr>
                <w:rFonts w:cs="Arial"/>
                <w:b/>
                <w:color w:val="FF0000"/>
                <w:szCs w:val="24"/>
              </w:rPr>
            </w:pPr>
            <w:r w:rsidRPr="00D354CD">
              <w:rPr>
                <w:rFonts w:cs="Arial"/>
                <w:szCs w:val="24"/>
              </w:rPr>
              <w:t>All</w:t>
            </w:r>
          </w:p>
        </w:tc>
      </w:tr>
      <w:tr w:rsidR="0028495D" w14:paraId="5F1445BF" w14:textId="77777777" w:rsidTr="29E40709">
        <w:tc>
          <w:tcPr>
            <w:tcW w:w="3397" w:type="dxa"/>
          </w:tcPr>
          <w:p w14:paraId="0E539C63" w14:textId="77777777" w:rsidR="0028495D" w:rsidRPr="00C13A5F" w:rsidRDefault="0028495D" w:rsidP="00F55B78">
            <w:pPr>
              <w:pStyle w:val="Infotext"/>
              <w:spacing w:after="240"/>
              <w:rPr>
                <w:rFonts w:ascii="Arial Black" w:hAnsi="Arial Black" w:cs="Arial"/>
              </w:rPr>
            </w:pPr>
            <w:r w:rsidRPr="00C13A5F">
              <w:rPr>
                <w:rFonts w:ascii="Arial Black" w:hAnsi="Arial Black" w:cs="Arial"/>
              </w:rPr>
              <w:t>Enclosures:</w:t>
            </w:r>
          </w:p>
        </w:tc>
        <w:tc>
          <w:tcPr>
            <w:tcW w:w="4912" w:type="dxa"/>
          </w:tcPr>
          <w:p w14:paraId="76F8798E" w14:textId="1F07BEB1" w:rsidR="0028495D" w:rsidRDefault="00302FE0" w:rsidP="00F55B78">
            <w:pPr>
              <w:pStyle w:val="Infotext"/>
              <w:rPr>
                <w:color w:val="000000" w:themeColor="text1"/>
                <w:sz w:val="24"/>
                <w:szCs w:val="24"/>
              </w:rPr>
            </w:pPr>
            <w:r w:rsidRPr="00393434">
              <w:rPr>
                <w:color w:val="000000" w:themeColor="text1"/>
                <w:sz w:val="24"/>
                <w:szCs w:val="24"/>
              </w:rPr>
              <w:t>Appendix 1:</w:t>
            </w:r>
            <w:r w:rsidR="00BD5330">
              <w:rPr>
                <w:color w:val="000000" w:themeColor="text1"/>
                <w:sz w:val="24"/>
                <w:szCs w:val="24"/>
              </w:rPr>
              <w:t xml:space="preserve"> </w:t>
            </w:r>
            <w:r w:rsidRPr="00393434">
              <w:rPr>
                <w:color w:val="000000" w:themeColor="text1"/>
                <w:sz w:val="24"/>
                <w:szCs w:val="24"/>
              </w:rPr>
              <w:t>Asset Management Strategy</w:t>
            </w:r>
          </w:p>
          <w:p w14:paraId="56649C46" w14:textId="5F49B079" w:rsidR="000C4EB2" w:rsidRPr="00393434" w:rsidRDefault="000C4EB2" w:rsidP="00F55B78">
            <w:pPr>
              <w:pStyle w:val="Infotext"/>
              <w:rPr>
                <w:color w:val="000000" w:themeColor="text1"/>
                <w:sz w:val="24"/>
                <w:szCs w:val="24"/>
              </w:rPr>
            </w:pPr>
            <w:r>
              <w:rPr>
                <w:color w:val="000000" w:themeColor="text1"/>
                <w:sz w:val="24"/>
                <w:szCs w:val="24"/>
              </w:rPr>
              <w:t>Appendix 2: Action Plan</w:t>
            </w:r>
          </w:p>
          <w:p w14:paraId="6668D730" w14:textId="0607DEBC" w:rsidR="00302FE0" w:rsidRPr="005E3A10" w:rsidRDefault="00302FE0" w:rsidP="00F55B78">
            <w:pPr>
              <w:pStyle w:val="Infotext"/>
              <w:rPr>
                <w:color w:val="FF0000"/>
                <w:sz w:val="24"/>
                <w:szCs w:val="24"/>
              </w:rPr>
            </w:pPr>
          </w:p>
        </w:tc>
      </w:tr>
    </w:tbl>
    <w:p w14:paraId="27C48D26" w14:textId="64FA650E" w:rsidR="00333FAA" w:rsidRDefault="00333FAA" w:rsidP="00F55B78">
      <w:pPr>
        <w:spacing w:after="480"/>
        <w:rPr>
          <w:rFonts w:cs="Arial"/>
        </w:rPr>
      </w:pPr>
    </w:p>
    <w:p w14:paraId="66B16789" w14:textId="6931B6B0" w:rsidR="00717B6A" w:rsidRDefault="00717B6A" w:rsidP="00F55B78">
      <w:pPr>
        <w:spacing w:after="480"/>
        <w:rPr>
          <w:rFonts w:cs="Arial"/>
        </w:rPr>
      </w:pPr>
    </w:p>
    <w:p w14:paraId="333A73A7" w14:textId="64738EDB" w:rsidR="002839FF" w:rsidRDefault="002839FF" w:rsidP="00F55B78">
      <w:pPr>
        <w:spacing w:after="480"/>
        <w:rPr>
          <w:rFonts w:cs="Arial"/>
        </w:rPr>
      </w:pPr>
    </w:p>
    <w:p w14:paraId="403C4272" w14:textId="62CDF5EA" w:rsidR="002839FF" w:rsidRDefault="002839FF" w:rsidP="00F55B78">
      <w:pPr>
        <w:spacing w:after="480"/>
        <w:rPr>
          <w:rFonts w:cs="Arial"/>
        </w:rPr>
      </w:pPr>
    </w:p>
    <w:p w14:paraId="125FFE6F" w14:textId="07B0956F" w:rsidR="002839FF" w:rsidRDefault="002839FF" w:rsidP="00F55B78">
      <w:pPr>
        <w:spacing w:after="480"/>
        <w:rPr>
          <w:rFonts w:cs="Arial"/>
        </w:rPr>
      </w:pPr>
    </w:p>
    <w:p w14:paraId="16A886BF" w14:textId="77777777" w:rsidR="002839FF" w:rsidRDefault="002839FF" w:rsidP="00F55B78">
      <w:pPr>
        <w:spacing w:after="480"/>
        <w:rPr>
          <w:rFonts w:cs="Arial"/>
        </w:rPr>
      </w:pPr>
    </w:p>
    <w:tbl>
      <w:tblPr>
        <w:tblpPr w:leftFromText="180" w:rightFromText="180" w:vertAnchor="page" w:horzAnchor="margin" w:tblpXSpec="right" w:tblpY="99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9018"/>
      </w:tblGrid>
      <w:tr w:rsidR="00333FAA" w14:paraId="39320826" w14:textId="77777777" w:rsidTr="007563D6">
        <w:trPr>
          <w:tblHeader/>
        </w:trPr>
        <w:tc>
          <w:tcPr>
            <w:tcW w:w="9018" w:type="dxa"/>
            <w:tcBorders>
              <w:top w:val="nil"/>
              <w:left w:val="nil"/>
              <w:right w:val="nil"/>
            </w:tcBorders>
          </w:tcPr>
          <w:p w14:paraId="3A67BFB3" w14:textId="77777777" w:rsidR="00333FAA" w:rsidRDefault="00333FAA" w:rsidP="00F55B78">
            <w:pPr>
              <w:pStyle w:val="Heading2"/>
              <w:spacing w:after="240"/>
            </w:pPr>
            <w:r>
              <w:lastRenderedPageBreak/>
              <w:t>Section 1 – Summary and Recommendations</w:t>
            </w:r>
          </w:p>
        </w:tc>
      </w:tr>
      <w:tr w:rsidR="00333FAA" w14:paraId="5D78E563" w14:textId="77777777" w:rsidTr="007563D6">
        <w:trPr>
          <w:tblHeader/>
        </w:trPr>
        <w:tc>
          <w:tcPr>
            <w:tcW w:w="9018" w:type="dxa"/>
          </w:tcPr>
          <w:p w14:paraId="6F7307C9" w14:textId="1925DC27" w:rsidR="005B5938" w:rsidRDefault="00A733B3" w:rsidP="00F55B78">
            <w:pPr>
              <w:rPr>
                <w:rFonts w:cs="Arial"/>
                <w:szCs w:val="22"/>
              </w:rPr>
            </w:pPr>
            <w:bookmarkStart w:id="0" w:name="_Hlk57824003"/>
            <w:r>
              <w:rPr>
                <w:rFonts w:cs="Arial"/>
                <w:szCs w:val="22"/>
              </w:rPr>
              <w:t>Th</w:t>
            </w:r>
            <w:r w:rsidR="00D02E89">
              <w:rPr>
                <w:rFonts w:cs="Arial"/>
                <w:szCs w:val="22"/>
              </w:rPr>
              <w:t>is report</w:t>
            </w:r>
            <w:r w:rsidR="00302FE0">
              <w:rPr>
                <w:rFonts w:cs="Arial"/>
                <w:szCs w:val="22"/>
              </w:rPr>
              <w:t xml:space="preserve"> sets </w:t>
            </w:r>
            <w:r w:rsidR="00777305">
              <w:rPr>
                <w:rFonts w:cs="Arial"/>
                <w:szCs w:val="22"/>
              </w:rPr>
              <w:t xml:space="preserve">out </w:t>
            </w:r>
            <w:r w:rsidR="001D72A0">
              <w:rPr>
                <w:rFonts w:cs="Arial"/>
                <w:szCs w:val="22"/>
              </w:rPr>
              <w:t>an</w:t>
            </w:r>
            <w:r w:rsidR="00777305">
              <w:rPr>
                <w:rFonts w:cs="Arial"/>
                <w:szCs w:val="22"/>
              </w:rPr>
              <w:t xml:space="preserve"> Asset Management Strategy (AMS)</w:t>
            </w:r>
            <w:r>
              <w:rPr>
                <w:rFonts w:cs="Arial"/>
                <w:szCs w:val="22"/>
              </w:rPr>
              <w:t xml:space="preserve"> </w:t>
            </w:r>
            <w:r w:rsidR="00777305">
              <w:rPr>
                <w:rFonts w:cs="Arial"/>
                <w:szCs w:val="22"/>
              </w:rPr>
              <w:t>using a</w:t>
            </w:r>
            <w:r w:rsidR="001D72A0">
              <w:rPr>
                <w:rFonts w:cs="Arial"/>
                <w:szCs w:val="22"/>
              </w:rPr>
              <w:t>n</w:t>
            </w:r>
            <w:r w:rsidR="00777305">
              <w:rPr>
                <w:rFonts w:cs="Arial"/>
                <w:szCs w:val="22"/>
              </w:rPr>
              <w:t xml:space="preserve"> </w:t>
            </w:r>
            <w:r>
              <w:rPr>
                <w:rFonts w:cs="Arial"/>
                <w:szCs w:val="22"/>
              </w:rPr>
              <w:t>Active Asset Management Approach</w:t>
            </w:r>
            <w:r w:rsidR="00302FE0">
              <w:rPr>
                <w:rFonts w:cs="Arial"/>
                <w:szCs w:val="22"/>
              </w:rPr>
              <w:t xml:space="preserve"> to the council’s housing stock</w:t>
            </w:r>
            <w:r>
              <w:rPr>
                <w:rFonts w:cs="Arial"/>
                <w:szCs w:val="22"/>
              </w:rPr>
              <w:t xml:space="preserve">.  </w:t>
            </w:r>
            <w:r w:rsidR="00166BFE">
              <w:rPr>
                <w:rFonts w:cs="Arial"/>
                <w:szCs w:val="22"/>
              </w:rPr>
              <w:t xml:space="preserve">Over the last 18 months </w:t>
            </w:r>
            <w:r w:rsidR="001D72A0">
              <w:rPr>
                <w:rFonts w:cs="Arial"/>
                <w:szCs w:val="22"/>
              </w:rPr>
              <w:t>officers</w:t>
            </w:r>
            <w:r w:rsidR="00166BFE">
              <w:rPr>
                <w:rFonts w:cs="Arial"/>
                <w:szCs w:val="22"/>
              </w:rPr>
              <w:t xml:space="preserve"> have </w:t>
            </w:r>
            <w:r w:rsidR="00302FE0">
              <w:rPr>
                <w:rFonts w:cs="Arial"/>
                <w:szCs w:val="22"/>
              </w:rPr>
              <w:t xml:space="preserve">completed </w:t>
            </w:r>
            <w:r>
              <w:rPr>
                <w:rFonts w:cs="Arial"/>
                <w:szCs w:val="22"/>
              </w:rPr>
              <w:t xml:space="preserve">a </w:t>
            </w:r>
            <w:r w:rsidR="00166BFE">
              <w:rPr>
                <w:rFonts w:cs="Arial"/>
                <w:szCs w:val="22"/>
              </w:rPr>
              <w:t xml:space="preserve">new </w:t>
            </w:r>
            <w:r>
              <w:rPr>
                <w:rFonts w:cs="Arial"/>
                <w:szCs w:val="22"/>
              </w:rPr>
              <w:t>stock condition survey and im</w:t>
            </w:r>
            <w:r w:rsidR="00166BFE">
              <w:rPr>
                <w:rFonts w:cs="Arial"/>
                <w:szCs w:val="22"/>
              </w:rPr>
              <w:t>ple</w:t>
            </w:r>
            <w:r>
              <w:rPr>
                <w:rFonts w:cs="Arial"/>
                <w:szCs w:val="22"/>
              </w:rPr>
              <w:t>ment</w:t>
            </w:r>
            <w:r w:rsidR="00302FE0">
              <w:rPr>
                <w:rFonts w:cs="Arial"/>
                <w:szCs w:val="22"/>
              </w:rPr>
              <w:t>ed</w:t>
            </w:r>
            <w:r w:rsidR="00166BFE">
              <w:rPr>
                <w:rFonts w:cs="Arial"/>
                <w:szCs w:val="22"/>
              </w:rPr>
              <w:t xml:space="preserve"> the</w:t>
            </w:r>
            <w:r>
              <w:rPr>
                <w:rFonts w:cs="Arial"/>
                <w:szCs w:val="22"/>
              </w:rPr>
              <w:t xml:space="preserve"> Social Housing Asset Performance</w:t>
            </w:r>
            <w:r w:rsidR="00166BFE">
              <w:rPr>
                <w:rFonts w:cs="Arial"/>
                <w:szCs w:val="22"/>
              </w:rPr>
              <w:t xml:space="preserve"> (SHAPE)</w:t>
            </w:r>
            <w:r>
              <w:rPr>
                <w:rFonts w:cs="Arial"/>
                <w:szCs w:val="22"/>
              </w:rPr>
              <w:t xml:space="preserve"> toolkit.  Following this work approval </w:t>
            </w:r>
            <w:r w:rsidR="00302FE0">
              <w:rPr>
                <w:rFonts w:cs="Arial"/>
                <w:szCs w:val="22"/>
              </w:rPr>
              <w:t>is requested for the</w:t>
            </w:r>
            <w:r>
              <w:rPr>
                <w:rFonts w:cs="Arial"/>
                <w:szCs w:val="22"/>
              </w:rPr>
              <w:t xml:space="preserve"> draft Asset Management Strategy and to procure </w:t>
            </w:r>
            <w:r w:rsidR="00D068F3">
              <w:rPr>
                <w:rFonts w:cs="Arial"/>
                <w:szCs w:val="22"/>
              </w:rPr>
              <w:t>a</w:t>
            </w:r>
            <w:r>
              <w:rPr>
                <w:rFonts w:cs="Arial"/>
                <w:szCs w:val="22"/>
              </w:rPr>
              <w:t xml:space="preserve"> </w:t>
            </w:r>
            <w:r w:rsidR="00E55E97">
              <w:rPr>
                <w:rFonts w:cs="Arial"/>
                <w:szCs w:val="22"/>
              </w:rPr>
              <w:t>3-year</w:t>
            </w:r>
            <w:r>
              <w:rPr>
                <w:rFonts w:cs="Arial"/>
                <w:szCs w:val="22"/>
              </w:rPr>
              <w:t xml:space="preserve"> capital programme based on this.  </w:t>
            </w:r>
          </w:p>
          <w:p w14:paraId="53125AEA" w14:textId="120F4913" w:rsidR="00CE7493" w:rsidRDefault="00DE4165" w:rsidP="00F55B78">
            <w:pPr>
              <w:rPr>
                <w:szCs w:val="24"/>
              </w:rPr>
            </w:pPr>
            <w:r>
              <w:rPr>
                <w:rFonts w:cs="Arial"/>
                <w:szCs w:val="22"/>
              </w:rPr>
              <w:t xml:space="preserve">  </w:t>
            </w:r>
          </w:p>
          <w:p w14:paraId="1E553B72" w14:textId="032F33DB" w:rsidR="0072374D" w:rsidRPr="00A83F19" w:rsidRDefault="00CE7493" w:rsidP="00F55B78">
            <w:pPr>
              <w:rPr>
                <w:rFonts w:cs="Arial"/>
                <w:szCs w:val="24"/>
              </w:rPr>
            </w:pPr>
            <w:r w:rsidRPr="00A83F19">
              <w:rPr>
                <w:szCs w:val="24"/>
              </w:rPr>
              <w:t>Cabinet is requested to</w:t>
            </w:r>
            <w:r>
              <w:rPr>
                <w:szCs w:val="24"/>
              </w:rPr>
              <w:t>:</w:t>
            </w:r>
          </w:p>
          <w:p w14:paraId="063CB6D4" w14:textId="3885A2F2" w:rsidR="001F2820" w:rsidRPr="001B7C60" w:rsidRDefault="003908AE" w:rsidP="00192264">
            <w:pPr>
              <w:pStyle w:val="ListParagraph"/>
              <w:numPr>
                <w:ilvl w:val="1"/>
                <w:numId w:val="12"/>
              </w:numPr>
              <w:rPr>
                <w:szCs w:val="24"/>
              </w:rPr>
            </w:pPr>
            <w:r w:rsidRPr="001F2820">
              <w:rPr>
                <w:rFonts w:eastAsia="Calibri"/>
                <w:szCs w:val="24"/>
              </w:rPr>
              <w:t>Approve</w:t>
            </w:r>
            <w:r w:rsidR="00166BFE" w:rsidRPr="001F2820">
              <w:rPr>
                <w:rFonts w:eastAsia="Calibri"/>
                <w:szCs w:val="24"/>
              </w:rPr>
              <w:t xml:space="preserve"> the Asset Management Strategy </w:t>
            </w:r>
            <w:r w:rsidR="00A21860" w:rsidRPr="001F2820">
              <w:rPr>
                <w:rFonts w:eastAsia="Calibri"/>
                <w:szCs w:val="24"/>
              </w:rPr>
              <w:t>(attached at Appendix 1)</w:t>
            </w:r>
            <w:r w:rsidR="00A21860" w:rsidRPr="001F2820">
              <w:rPr>
                <w:szCs w:val="24"/>
              </w:rPr>
              <w:t xml:space="preserve"> </w:t>
            </w:r>
            <w:r w:rsidR="00302FE0" w:rsidRPr="001F2820">
              <w:rPr>
                <w:szCs w:val="24"/>
              </w:rPr>
              <w:t xml:space="preserve">which sets out how the council will actively manage its housing assets and prioritise investment to maintain and improve its homes </w:t>
            </w:r>
            <w:r w:rsidR="00E55E97" w:rsidRPr="001F2820">
              <w:rPr>
                <w:szCs w:val="24"/>
              </w:rPr>
              <w:t>efficiently</w:t>
            </w:r>
            <w:r w:rsidR="00E55E97" w:rsidRPr="00A90281">
              <w:rPr>
                <w:szCs w:val="24"/>
              </w:rPr>
              <w:t xml:space="preserve"> and</w:t>
            </w:r>
            <w:r w:rsidR="00DB7CA4" w:rsidRPr="00ED2423">
              <w:rPr>
                <w:rFonts w:eastAsia="Calibri"/>
                <w:szCs w:val="24"/>
              </w:rPr>
              <w:t xml:space="preserve"> endorse its publication</w:t>
            </w:r>
            <w:r w:rsidR="00192264">
              <w:rPr>
                <w:szCs w:val="24"/>
              </w:rPr>
              <w:t>.</w:t>
            </w:r>
          </w:p>
          <w:p w14:paraId="59814A8B" w14:textId="5CDB5447" w:rsidR="00585FC5" w:rsidRDefault="00585FC5" w:rsidP="00F55B78"/>
          <w:p w14:paraId="58715987" w14:textId="3D070C3F" w:rsidR="009122F4" w:rsidRDefault="00585FC5" w:rsidP="004B2213">
            <w:pPr>
              <w:pStyle w:val="Heading3"/>
              <w:ind w:left="0" w:firstLine="0"/>
              <w:jc w:val="left"/>
            </w:pPr>
            <w:r>
              <w:t>R</w:t>
            </w:r>
            <w:r w:rsidR="00E13BEF">
              <w:t>eason</w:t>
            </w:r>
            <w:r w:rsidR="00DF7201">
              <w:t>: (</w:t>
            </w:r>
            <w:r w:rsidR="00E13BEF">
              <w:t>f</w:t>
            </w:r>
            <w:r w:rsidR="001C7E35" w:rsidRPr="00605A4C">
              <w:t xml:space="preserve">or </w:t>
            </w:r>
            <w:r w:rsidR="004B2213">
              <w:t>recommendations</w:t>
            </w:r>
            <w:r w:rsidR="00206CAF">
              <w:t>)</w:t>
            </w:r>
            <w:r w:rsidR="004B2213">
              <w:t xml:space="preserve"> </w:t>
            </w:r>
            <w:r w:rsidR="00297F0E" w:rsidRPr="004B2213">
              <w:rPr>
                <w:rFonts w:cs="Times New Roman"/>
                <w:b w:val="0"/>
                <w:bCs w:val="0"/>
                <w:sz w:val="24"/>
                <w:szCs w:val="24"/>
              </w:rPr>
              <w:t xml:space="preserve">The delivery of </w:t>
            </w:r>
            <w:r w:rsidR="00206CAF" w:rsidRPr="004B2213">
              <w:rPr>
                <w:rFonts w:cs="Times New Roman"/>
                <w:b w:val="0"/>
                <w:bCs w:val="0"/>
                <w:sz w:val="24"/>
                <w:szCs w:val="24"/>
              </w:rPr>
              <w:t xml:space="preserve">the </w:t>
            </w:r>
            <w:r w:rsidR="005A6E67" w:rsidRPr="004B2213">
              <w:rPr>
                <w:rFonts w:cs="Times New Roman"/>
                <w:b w:val="0"/>
                <w:bCs w:val="0"/>
                <w:sz w:val="24"/>
                <w:szCs w:val="24"/>
              </w:rPr>
              <w:t xml:space="preserve">Asset Management </w:t>
            </w:r>
            <w:r w:rsidR="00777305" w:rsidRPr="004B2213">
              <w:rPr>
                <w:rFonts w:cs="Times New Roman"/>
                <w:b w:val="0"/>
                <w:bCs w:val="0"/>
                <w:sz w:val="24"/>
                <w:szCs w:val="24"/>
              </w:rPr>
              <w:t xml:space="preserve">Strategy </w:t>
            </w:r>
            <w:r w:rsidR="00DC32A8" w:rsidRPr="004B2213">
              <w:rPr>
                <w:rFonts w:cs="Times New Roman"/>
                <w:b w:val="0"/>
                <w:bCs w:val="0"/>
                <w:sz w:val="24"/>
                <w:szCs w:val="24"/>
              </w:rPr>
              <w:t>will enable the Council to:</w:t>
            </w:r>
            <w:r w:rsidR="00DC32A8" w:rsidRPr="00403FC6">
              <w:t xml:space="preserve"> </w:t>
            </w:r>
          </w:p>
          <w:p w14:paraId="22726777" w14:textId="0D2E30CC" w:rsidR="00382B88" w:rsidRDefault="006940E5" w:rsidP="00F55B78">
            <w:pPr>
              <w:pStyle w:val="ListParagraph"/>
              <w:numPr>
                <w:ilvl w:val="0"/>
                <w:numId w:val="1"/>
              </w:numPr>
              <w:rPr>
                <w:rFonts w:eastAsia="Calibri"/>
                <w:szCs w:val="24"/>
              </w:rPr>
            </w:pPr>
            <w:r>
              <w:rPr>
                <w:rFonts w:eastAsia="Calibri"/>
                <w:szCs w:val="24"/>
              </w:rPr>
              <w:t>M</w:t>
            </w:r>
            <w:r w:rsidR="00382B88" w:rsidRPr="009F517B">
              <w:rPr>
                <w:rFonts w:eastAsia="Calibri"/>
                <w:szCs w:val="24"/>
              </w:rPr>
              <w:t xml:space="preserve">eet statutory requirements concerning the planned maintenance of stock in </w:t>
            </w:r>
            <w:r w:rsidR="00B446CD">
              <w:rPr>
                <w:rFonts w:eastAsia="Calibri"/>
                <w:szCs w:val="24"/>
              </w:rPr>
              <w:t xml:space="preserve">line with our Asset Management Strategy which includes delivery of </w:t>
            </w:r>
            <w:r w:rsidR="00382B88" w:rsidRPr="009F517B">
              <w:rPr>
                <w:rFonts w:eastAsia="Calibri"/>
                <w:szCs w:val="24"/>
              </w:rPr>
              <w:t xml:space="preserve">Decent Homes </w:t>
            </w:r>
            <w:r w:rsidR="00657427">
              <w:rPr>
                <w:rFonts w:eastAsia="Calibri"/>
                <w:szCs w:val="24"/>
              </w:rPr>
              <w:t>S</w:t>
            </w:r>
            <w:r w:rsidR="00382B88" w:rsidRPr="009F517B">
              <w:rPr>
                <w:rFonts w:eastAsia="Calibri"/>
                <w:szCs w:val="24"/>
              </w:rPr>
              <w:t>tandard</w:t>
            </w:r>
            <w:r w:rsidR="00B446CD">
              <w:rPr>
                <w:rFonts w:eastAsia="Calibri"/>
                <w:szCs w:val="24"/>
              </w:rPr>
              <w:t xml:space="preserve"> and </w:t>
            </w:r>
            <w:r w:rsidR="00C039E2">
              <w:rPr>
                <w:rFonts w:eastAsia="Calibri"/>
                <w:szCs w:val="24"/>
              </w:rPr>
              <w:t>council e</w:t>
            </w:r>
            <w:r w:rsidR="00B446CD">
              <w:rPr>
                <w:rFonts w:eastAsia="Calibri"/>
                <w:szCs w:val="24"/>
              </w:rPr>
              <w:t xml:space="preserve">state </w:t>
            </w:r>
            <w:r w:rsidR="00C039E2">
              <w:rPr>
                <w:rFonts w:eastAsia="Calibri"/>
                <w:szCs w:val="24"/>
              </w:rPr>
              <w:t>i</w:t>
            </w:r>
            <w:r w:rsidR="00B446CD">
              <w:rPr>
                <w:rFonts w:eastAsia="Calibri"/>
                <w:szCs w:val="24"/>
              </w:rPr>
              <w:t>mprovements,</w:t>
            </w:r>
            <w:r w:rsidR="00382B88" w:rsidRPr="009F517B">
              <w:rPr>
                <w:rFonts w:eastAsia="Calibri"/>
                <w:szCs w:val="24"/>
              </w:rPr>
              <w:t xml:space="preserve"> </w:t>
            </w:r>
            <w:r w:rsidR="00B446CD">
              <w:rPr>
                <w:rFonts w:eastAsia="Calibri"/>
                <w:szCs w:val="24"/>
              </w:rPr>
              <w:t xml:space="preserve">landlord </w:t>
            </w:r>
            <w:r w:rsidR="00382B88" w:rsidRPr="009F517B">
              <w:rPr>
                <w:rFonts w:eastAsia="Calibri"/>
                <w:szCs w:val="24"/>
              </w:rPr>
              <w:t xml:space="preserve">compliance </w:t>
            </w:r>
            <w:r w:rsidR="00B446CD">
              <w:rPr>
                <w:rFonts w:eastAsia="Calibri"/>
                <w:szCs w:val="24"/>
              </w:rPr>
              <w:t xml:space="preserve">and building safety </w:t>
            </w:r>
            <w:r w:rsidR="00382B88" w:rsidRPr="009F517B">
              <w:rPr>
                <w:rFonts w:eastAsia="Calibri"/>
                <w:szCs w:val="24"/>
              </w:rPr>
              <w:t>objectives</w:t>
            </w:r>
            <w:r w:rsidR="00B446CD">
              <w:rPr>
                <w:rFonts w:eastAsia="Calibri"/>
                <w:szCs w:val="24"/>
              </w:rPr>
              <w:t xml:space="preserve"> and carbon reduction and energy efficiency targets</w:t>
            </w:r>
            <w:r w:rsidR="00382B88" w:rsidRPr="009F517B">
              <w:rPr>
                <w:rFonts w:eastAsia="Calibri"/>
                <w:szCs w:val="24"/>
              </w:rPr>
              <w:t xml:space="preserve">.  </w:t>
            </w:r>
          </w:p>
          <w:p w14:paraId="1F0D520D" w14:textId="10BF26B8" w:rsidR="00B446CD" w:rsidRDefault="00B446CD" w:rsidP="00F55B78">
            <w:pPr>
              <w:pStyle w:val="ListParagraph"/>
              <w:numPr>
                <w:ilvl w:val="0"/>
                <w:numId w:val="1"/>
              </w:numPr>
              <w:rPr>
                <w:rFonts w:eastAsia="Calibri"/>
                <w:szCs w:val="24"/>
              </w:rPr>
            </w:pPr>
            <w:r>
              <w:rPr>
                <w:rFonts w:eastAsia="Calibri"/>
                <w:szCs w:val="24"/>
              </w:rPr>
              <w:t>Crucially the approach will allow us to move towards a more planned and less reactive approach</w:t>
            </w:r>
            <w:r w:rsidR="00B91F63">
              <w:rPr>
                <w:rFonts w:eastAsia="Calibri"/>
                <w:szCs w:val="24"/>
              </w:rPr>
              <w:t xml:space="preserve"> towards asset management</w:t>
            </w:r>
            <w:r>
              <w:rPr>
                <w:rFonts w:eastAsia="Calibri"/>
                <w:szCs w:val="24"/>
              </w:rPr>
              <w:t>.  Initially this will be a 60/40 split.</w:t>
            </w:r>
          </w:p>
          <w:p w14:paraId="5C434C1F" w14:textId="77777777" w:rsidR="00502FCD" w:rsidRPr="00502FCD" w:rsidRDefault="00B26044" w:rsidP="00F55B78">
            <w:pPr>
              <w:pStyle w:val="ListParagraph"/>
              <w:numPr>
                <w:ilvl w:val="0"/>
                <w:numId w:val="1"/>
              </w:numPr>
            </w:pPr>
            <w:r>
              <w:rPr>
                <w:rFonts w:eastAsia="Calibri"/>
                <w:szCs w:val="24"/>
              </w:rPr>
              <w:t>P</w:t>
            </w:r>
            <w:r w:rsidR="00382B88" w:rsidRPr="009F517B">
              <w:rPr>
                <w:rFonts w:eastAsia="Calibri"/>
                <w:szCs w:val="24"/>
              </w:rPr>
              <w:t>rocure</w:t>
            </w:r>
            <w:r>
              <w:rPr>
                <w:rFonts w:eastAsia="Calibri"/>
                <w:szCs w:val="24"/>
              </w:rPr>
              <w:t xml:space="preserve"> </w:t>
            </w:r>
            <w:r w:rsidR="00170454" w:rsidRPr="009117A3">
              <w:rPr>
                <w:rFonts w:eastAsia="Calibri"/>
                <w:color w:val="000000" w:themeColor="text1"/>
                <w:szCs w:val="24"/>
              </w:rPr>
              <w:t xml:space="preserve">and plan </w:t>
            </w:r>
            <w:r>
              <w:rPr>
                <w:rFonts w:eastAsia="Calibri"/>
                <w:szCs w:val="24"/>
              </w:rPr>
              <w:t>works</w:t>
            </w:r>
            <w:r w:rsidR="00382B88" w:rsidRPr="009F517B">
              <w:rPr>
                <w:rFonts w:eastAsia="Calibri"/>
                <w:szCs w:val="24"/>
              </w:rPr>
              <w:t xml:space="preserve"> more efficiently across the 3-year period </w:t>
            </w:r>
            <w:r>
              <w:rPr>
                <w:rFonts w:eastAsia="Calibri"/>
                <w:szCs w:val="24"/>
              </w:rPr>
              <w:t xml:space="preserve">in order </w:t>
            </w:r>
            <w:r w:rsidR="00382B88" w:rsidRPr="009F517B">
              <w:rPr>
                <w:rFonts w:eastAsia="Calibri"/>
                <w:szCs w:val="24"/>
              </w:rPr>
              <w:t>to provide best value programmes of work on an elemental basis</w:t>
            </w:r>
            <w:r w:rsidR="00170454">
              <w:rPr>
                <w:rFonts w:eastAsia="Calibri"/>
                <w:szCs w:val="24"/>
              </w:rPr>
              <w:t xml:space="preserve"> </w:t>
            </w:r>
            <w:r w:rsidR="00170454" w:rsidRPr="009117A3">
              <w:rPr>
                <w:rFonts w:eastAsia="Calibri"/>
                <w:color w:val="000000" w:themeColor="text1"/>
                <w:szCs w:val="24"/>
              </w:rPr>
              <w:t>in line with “Active Asset Management” principles</w:t>
            </w:r>
            <w:r w:rsidR="00382B88" w:rsidRPr="009F517B">
              <w:rPr>
                <w:rFonts w:eastAsia="Calibri"/>
                <w:szCs w:val="24"/>
              </w:rPr>
              <w:t xml:space="preserve">. </w:t>
            </w:r>
          </w:p>
          <w:p w14:paraId="1CCC33C1" w14:textId="77777777" w:rsidR="00502FCD" w:rsidRDefault="00502FCD" w:rsidP="00502FCD">
            <w:pPr>
              <w:pStyle w:val="ListParagraph"/>
              <w:numPr>
                <w:ilvl w:val="0"/>
                <w:numId w:val="1"/>
              </w:numPr>
            </w:pPr>
            <w:r w:rsidRPr="00CD23B4">
              <w:rPr>
                <w:rFonts w:eastAsia="Calibri"/>
                <w:szCs w:val="24"/>
              </w:rPr>
              <w:t xml:space="preserve">The new Asset Management Strategy will </w:t>
            </w:r>
            <w:r>
              <w:t>improve homes for our residents and improve the customer experience as well as ensuring effective investment in our assets making sure they are fit for purpose and meet our needs over the life of the Housing Revenue Account (HRA) business plan.</w:t>
            </w:r>
          </w:p>
          <w:bookmarkEnd w:id="0"/>
          <w:p w14:paraId="313BC81E" w14:textId="08CD8938" w:rsidR="00D96814" w:rsidRPr="00D96814" w:rsidRDefault="00D96814" w:rsidP="00502FCD">
            <w:pPr>
              <w:pStyle w:val="ListParagraph"/>
              <w:ind w:left="360"/>
            </w:pPr>
          </w:p>
        </w:tc>
      </w:tr>
    </w:tbl>
    <w:p w14:paraId="0204F38A" w14:textId="4BF40A4D" w:rsidR="00333FAA" w:rsidRDefault="00333FAA" w:rsidP="00F55B78">
      <w:pPr>
        <w:pStyle w:val="Heading2"/>
        <w:spacing w:before="480"/>
      </w:pPr>
      <w:r>
        <w:t xml:space="preserve">Section 2 </w:t>
      </w:r>
      <w:r w:rsidR="002B10FB">
        <w:t>–</w:t>
      </w:r>
      <w:r w:rsidR="007D2433">
        <w:t xml:space="preserve"> </w:t>
      </w:r>
      <w:r w:rsidR="002B10FB">
        <w:t>Asset Management</w:t>
      </w:r>
      <w:r w:rsidR="007D2433">
        <w:t xml:space="preserve"> </w:t>
      </w:r>
      <w:r w:rsidR="00901BD9">
        <w:t xml:space="preserve">Strategy </w:t>
      </w:r>
    </w:p>
    <w:p w14:paraId="45935C17" w14:textId="6C3C0D74" w:rsidR="00901BD9" w:rsidRDefault="00901BD9" w:rsidP="00F55B78">
      <w:pPr>
        <w:pStyle w:val="Heading3"/>
        <w:spacing w:before="240"/>
        <w:ind w:left="0" w:firstLine="0"/>
        <w:jc w:val="left"/>
      </w:pPr>
      <w:r>
        <w:t>Options considered</w:t>
      </w:r>
    </w:p>
    <w:p w14:paraId="693ADB1A" w14:textId="6A10C08C" w:rsidR="00901BD9" w:rsidRPr="00990507" w:rsidRDefault="00901BD9" w:rsidP="00F55B78">
      <w:pPr>
        <w:ind w:left="720" w:hanging="720"/>
        <w:rPr>
          <w:bCs/>
        </w:rPr>
      </w:pPr>
      <w:r>
        <w:rPr>
          <w:bCs/>
        </w:rPr>
        <w:t xml:space="preserve">          </w:t>
      </w:r>
    </w:p>
    <w:p w14:paraId="63E97389" w14:textId="0F6EEA85" w:rsidR="00901BD9" w:rsidRPr="00F31DD2" w:rsidRDefault="00217AD9" w:rsidP="00F55B78">
      <w:pPr>
        <w:rPr>
          <w:color w:val="FF0000"/>
        </w:rPr>
      </w:pPr>
      <w:r w:rsidRPr="2C4A8220">
        <w:rPr>
          <w:b/>
          <w:bCs/>
        </w:rPr>
        <w:t>(</w:t>
      </w:r>
      <w:r w:rsidR="43AA8204" w:rsidRPr="2C4A8220">
        <w:rPr>
          <w:b/>
          <w:bCs/>
        </w:rPr>
        <w:t>a</w:t>
      </w:r>
      <w:r w:rsidRPr="2C4A8220">
        <w:rPr>
          <w:b/>
          <w:bCs/>
        </w:rPr>
        <w:t>)</w:t>
      </w:r>
      <w:r w:rsidR="00901BD9" w:rsidRPr="2C4A8220">
        <w:rPr>
          <w:b/>
          <w:bCs/>
        </w:rPr>
        <w:t xml:space="preserve"> Do Nothing: </w:t>
      </w:r>
      <w:r w:rsidR="00901BD9">
        <w:t xml:space="preserve">Continue to plan and carry out works on an annual </w:t>
      </w:r>
      <w:r w:rsidR="003F14E4">
        <w:t xml:space="preserve">         </w:t>
      </w:r>
      <w:r w:rsidR="00901BD9">
        <w:t>programme basis. This option has been rejected as it will not allow planned investment over the long term to meet strategic objectives and will require reliance on more expensive responsive repair services.</w:t>
      </w:r>
    </w:p>
    <w:p w14:paraId="0E02423D" w14:textId="77777777" w:rsidR="00901BD9" w:rsidRDefault="00901BD9" w:rsidP="00F55B78">
      <w:pPr>
        <w:tabs>
          <w:tab w:val="left" w:pos="426"/>
        </w:tabs>
        <w:rPr>
          <w:bCs/>
          <w:color w:val="FF0000"/>
        </w:rPr>
      </w:pPr>
    </w:p>
    <w:p w14:paraId="07B3CE1E" w14:textId="2A14BE6C" w:rsidR="00901BD9" w:rsidRDefault="00901BD9" w:rsidP="00F55B78">
      <w:r w:rsidRPr="2C4A8220">
        <w:rPr>
          <w:b/>
          <w:bCs/>
        </w:rPr>
        <w:t>(</w:t>
      </w:r>
      <w:r w:rsidR="7903BFDD" w:rsidRPr="2C4A8220">
        <w:rPr>
          <w:b/>
          <w:bCs/>
        </w:rPr>
        <w:t>b</w:t>
      </w:r>
      <w:r w:rsidRPr="2C4A8220">
        <w:rPr>
          <w:b/>
          <w:bCs/>
        </w:rPr>
        <w:t xml:space="preserve">) Commission a new Asset Management Strategy and develop a rolling </w:t>
      </w:r>
      <w:r w:rsidR="77A77A12" w:rsidRPr="2C4A8220">
        <w:rPr>
          <w:b/>
          <w:bCs/>
        </w:rPr>
        <w:t>3-year</w:t>
      </w:r>
      <w:r w:rsidRPr="2C4A8220">
        <w:rPr>
          <w:b/>
          <w:bCs/>
        </w:rPr>
        <w:t xml:space="preserve"> capital programme:</w:t>
      </w:r>
      <w:r>
        <w:t xml:space="preserve"> This is the recommended option as it will deliver the efficiencies outlined in the report, provide the framework for a more holistic planning process and </w:t>
      </w:r>
      <w:r w:rsidR="0031037B">
        <w:t xml:space="preserve">the delivery of </w:t>
      </w:r>
      <w:r>
        <w:t xml:space="preserve">best value </w:t>
      </w:r>
      <w:r w:rsidR="0031037B">
        <w:t xml:space="preserve">through </w:t>
      </w:r>
      <w:r>
        <w:t>procurement.</w:t>
      </w:r>
    </w:p>
    <w:p w14:paraId="51D38467" w14:textId="77777777" w:rsidR="00760974" w:rsidRPr="003908AE" w:rsidRDefault="00760974" w:rsidP="00F55B78">
      <w:pPr>
        <w:rPr>
          <w:rFonts w:eastAsia="Calibri"/>
          <w:szCs w:val="24"/>
        </w:rPr>
      </w:pPr>
    </w:p>
    <w:p w14:paraId="297A4A79" w14:textId="44E4FBA0" w:rsidR="00BB2B17" w:rsidRPr="00332240" w:rsidRDefault="00760974" w:rsidP="00F55B78">
      <w:pPr>
        <w:rPr>
          <w:rFonts w:eastAsia="Calibri"/>
          <w:b/>
          <w:bCs/>
        </w:rPr>
      </w:pPr>
      <w:r>
        <w:rPr>
          <w:rFonts w:eastAsia="Calibri"/>
          <w:b/>
          <w:bCs/>
        </w:rPr>
        <w:t>1</w:t>
      </w:r>
      <w:r w:rsidR="003908AE" w:rsidRPr="2C4A8220">
        <w:rPr>
          <w:rFonts w:eastAsia="Calibri"/>
          <w:b/>
          <w:bCs/>
        </w:rPr>
        <w:t>.0</w:t>
      </w:r>
      <w:r w:rsidR="003908AE">
        <w:tab/>
      </w:r>
      <w:r w:rsidR="00BB2B17" w:rsidRPr="2C4A8220">
        <w:rPr>
          <w:rFonts w:eastAsia="Calibri"/>
          <w:b/>
          <w:bCs/>
        </w:rPr>
        <w:t>Background</w:t>
      </w:r>
    </w:p>
    <w:p w14:paraId="406F525E" w14:textId="77777777" w:rsidR="00F50A12" w:rsidRDefault="00F50A12" w:rsidP="00F55B78">
      <w:pPr>
        <w:ind w:left="720" w:hanging="720"/>
        <w:rPr>
          <w:rFonts w:eastAsia="Calibri"/>
          <w:szCs w:val="24"/>
        </w:rPr>
      </w:pPr>
    </w:p>
    <w:p w14:paraId="1E60550B" w14:textId="61981759" w:rsidR="003F14E4" w:rsidRDefault="003F14E4" w:rsidP="00F55B78">
      <w:pPr>
        <w:pStyle w:val="ListParagraph"/>
        <w:numPr>
          <w:ilvl w:val="1"/>
          <w:numId w:val="4"/>
        </w:numPr>
        <w:rPr>
          <w:rStyle w:val="markedcontent"/>
          <w:rFonts w:cs="Arial"/>
        </w:rPr>
      </w:pPr>
      <w:r w:rsidRPr="003908AE">
        <w:rPr>
          <w:rStyle w:val="markedcontent"/>
          <w:rFonts w:cs="Arial"/>
        </w:rPr>
        <w:lastRenderedPageBreak/>
        <w:t>Harrow Council owns just under 4,800 homes, which are managed through its Housing</w:t>
      </w:r>
      <w:r w:rsidRPr="003908AE">
        <w:rPr>
          <w:rFonts w:cs="Arial"/>
        </w:rPr>
        <w:t xml:space="preserve"> </w:t>
      </w:r>
      <w:r w:rsidRPr="003908AE">
        <w:rPr>
          <w:rStyle w:val="markedcontent"/>
          <w:rFonts w:cs="Arial"/>
        </w:rPr>
        <w:t>Revenue Account (HRA).</w:t>
      </w:r>
      <w:r w:rsidRPr="003908AE">
        <w:rPr>
          <w:rStyle w:val="FootnoteReference"/>
          <w:rFonts w:cs="Arial"/>
        </w:rPr>
        <w:footnoteReference w:id="2"/>
      </w:r>
      <w:r w:rsidRPr="003908AE">
        <w:rPr>
          <w:rStyle w:val="markedcontent"/>
          <w:rFonts w:cs="Arial"/>
        </w:rPr>
        <w:t xml:space="preserve"> This equates to approximately 5% of total tock in the borough.</w:t>
      </w:r>
      <w:r w:rsidRPr="003908AE">
        <w:rPr>
          <w:rStyle w:val="FootnoteReference"/>
          <w:rFonts w:cs="Arial"/>
        </w:rPr>
        <w:footnoteReference w:id="3"/>
      </w:r>
      <w:r w:rsidRPr="003908AE">
        <w:rPr>
          <w:rStyle w:val="markedcontent"/>
          <w:rFonts w:cs="Arial"/>
        </w:rPr>
        <w:t xml:space="preserve"> The Council also manages around 1,200 leasehold</w:t>
      </w:r>
      <w:r w:rsidRPr="003908AE">
        <w:rPr>
          <w:rFonts w:cs="Arial"/>
        </w:rPr>
        <w:t xml:space="preserve"> </w:t>
      </w:r>
      <w:r w:rsidRPr="003908AE">
        <w:rPr>
          <w:rStyle w:val="markedcontent"/>
          <w:rFonts w:cs="Arial"/>
        </w:rPr>
        <w:t>properties (largely former Council owned flats sold under the Right to Buy), nearly 800 garages</w:t>
      </w:r>
      <w:r w:rsidRPr="003908AE">
        <w:rPr>
          <w:rFonts w:cs="Arial"/>
        </w:rPr>
        <w:t xml:space="preserve"> </w:t>
      </w:r>
      <w:r w:rsidRPr="003908AE">
        <w:rPr>
          <w:rStyle w:val="markedcontent"/>
          <w:rFonts w:cs="Arial"/>
        </w:rPr>
        <w:t>and 11 community centres.</w:t>
      </w:r>
    </w:p>
    <w:p w14:paraId="22C4A386" w14:textId="562B5C09" w:rsidR="000609B7" w:rsidRDefault="000609B7" w:rsidP="00F55B78">
      <w:pPr>
        <w:rPr>
          <w:rStyle w:val="markedcontent"/>
          <w:rFonts w:cs="Arial"/>
        </w:rPr>
      </w:pPr>
    </w:p>
    <w:p w14:paraId="2C273B42" w14:textId="73B06AFC" w:rsidR="000609B7" w:rsidRPr="000609B7" w:rsidRDefault="000609B7" w:rsidP="00F55B78">
      <w:pPr>
        <w:pStyle w:val="ListParagraph"/>
        <w:numPr>
          <w:ilvl w:val="1"/>
          <w:numId w:val="4"/>
        </w:numPr>
        <w:rPr>
          <w:rFonts w:cs="Arial"/>
        </w:rPr>
      </w:pPr>
      <w:r w:rsidRPr="000609B7">
        <w:rPr>
          <w:rFonts w:cs="Arial"/>
        </w:rPr>
        <w:t xml:space="preserve">Harrow’s previous Asset Management Strategy (AMS), drafted 2019, </w:t>
      </w:r>
      <w:r w:rsidR="00500616">
        <w:rPr>
          <w:rFonts w:cs="Arial"/>
        </w:rPr>
        <w:t>reacted to</w:t>
      </w:r>
      <w:r w:rsidRPr="000609B7">
        <w:rPr>
          <w:rFonts w:cs="Arial"/>
        </w:rPr>
        <w:t xml:space="preserve"> the 2016-20 Social Rent cuts with a shift to “Just-in-Time” investment planning. At the time, the impacts of the Grenfell Tower tragedy were being analysed carefully across the sector and, while the subsequent regulatory response had yet to emerge, there was an increased focus on property standards, governance and residents’ voice. The removal of the Housing Revenue Account (HRA) borrowing cap in 2018 also allowed a greater amount of flexibility, which included more focus on regeneration and new development.</w:t>
      </w:r>
    </w:p>
    <w:p w14:paraId="5BC372CA" w14:textId="77777777" w:rsidR="000609B7" w:rsidRPr="00B762DD" w:rsidRDefault="000609B7" w:rsidP="00F55B78">
      <w:pPr>
        <w:pStyle w:val="ListParagraph"/>
        <w:rPr>
          <w:rFonts w:cs="Arial"/>
          <w:sz w:val="22"/>
        </w:rPr>
      </w:pPr>
    </w:p>
    <w:p w14:paraId="06F8B2A2" w14:textId="7809D05F" w:rsidR="000609B7" w:rsidRPr="00ED70C5" w:rsidRDefault="000609B7" w:rsidP="00D52C54">
      <w:pPr>
        <w:pStyle w:val="ListParagraph"/>
        <w:numPr>
          <w:ilvl w:val="1"/>
          <w:numId w:val="4"/>
        </w:numPr>
        <w:rPr>
          <w:rFonts w:cs="Arial"/>
        </w:rPr>
      </w:pPr>
      <w:r w:rsidRPr="000609B7">
        <w:rPr>
          <w:rFonts w:cs="Arial"/>
        </w:rPr>
        <w:t xml:space="preserve">While these challenges and drivers still exist and remain as important as ever, local authorities continue to operate in a changing and challenging operating environment and several emerging themes need to be addressed in an updated strategic approach. </w:t>
      </w:r>
    </w:p>
    <w:p w14:paraId="202F2638" w14:textId="77777777" w:rsidR="000609B7" w:rsidRPr="000609B7" w:rsidRDefault="000609B7" w:rsidP="00F55B78">
      <w:pPr>
        <w:rPr>
          <w:rFonts w:cs="Arial"/>
        </w:rPr>
      </w:pPr>
    </w:p>
    <w:p w14:paraId="764C9CF4" w14:textId="59F1FBBF" w:rsidR="000609B7" w:rsidRPr="000609B7" w:rsidRDefault="000609B7" w:rsidP="00F55B78">
      <w:pPr>
        <w:pStyle w:val="ListParagraph"/>
        <w:numPr>
          <w:ilvl w:val="1"/>
          <w:numId w:val="4"/>
        </w:numPr>
        <w:rPr>
          <w:rFonts w:cs="Arial"/>
        </w:rPr>
      </w:pPr>
      <w:r w:rsidRPr="000609B7">
        <w:rPr>
          <w:rFonts w:cs="Arial"/>
        </w:rPr>
        <w:t>The Council has made good progress with its new investment planning modelling (SHAPE) and new planned works programmes (such as Planned Preventative Maintenance), which aim to drive down reactive spend and make wiser, more targeted, investment decisions. This work can be built upon by further embedding the concept of “</w:t>
      </w:r>
      <w:r w:rsidRPr="000609B7">
        <w:rPr>
          <w:rFonts w:cs="Arial"/>
          <w:i/>
          <w:iCs/>
        </w:rPr>
        <w:t>Active Asset Management</w:t>
      </w:r>
      <w:r w:rsidRPr="000609B7">
        <w:rPr>
          <w:rFonts w:cs="Arial"/>
        </w:rPr>
        <w:t>”, which is centred around understanding the ‘real time’ value of stock. This would allow more targeted investment, planning and growth, and ensuring value for money.</w:t>
      </w:r>
    </w:p>
    <w:p w14:paraId="1A1E3F33" w14:textId="2AA2C3BC" w:rsidR="000609B7" w:rsidRDefault="000609B7" w:rsidP="00F55B78">
      <w:pPr>
        <w:rPr>
          <w:rFonts w:cs="Arial"/>
        </w:rPr>
      </w:pPr>
    </w:p>
    <w:p w14:paraId="413BC1A3" w14:textId="2CA68EDF" w:rsidR="000609B7" w:rsidRPr="000609B7" w:rsidRDefault="000609B7" w:rsidP="00F55B78">
      <w:pPr>
        <w:ind w:left="720" w:hanging="720"/>
        <w:rPr>
          <w:rFonts w:cs="Arial"/>
        </w:rPr>
      </w:pPr>
      <w:r>
        <w:rPr>
          <w:rFonts w:ascii="TT Hoves" w:hAnsi="TT Hoves" w:cs="Arial"/>
        </w:rPr>
        <w:t>1.5</w:t>
      </w:r>
      <w:r>
        <w:rPr>
          <w:rFonts w:ascii="TT Hoves" w:hAnsi="TT Hoves" w:cs="Arial"/>
        </w:rPr>
        <w:tab/>
      </w:r>
      <w:r w:rsidRPr="000609B7">
        <w:rPr>
          <w:rFonts w:cs="Arial"/>
        </w:rPr>
        <w:t>New health and safety regulatory requirements established by, for example, the new Housing White Paper, Fire Safety Bill, proposed Building Regulations changes and Building Safety Act will result in additional administration and costs to meet new governance requirements and standards. The concept of safe and sound homes has therefore never been more important; the Council needs to ensure it has the right standards in place to provide quality buildings that meets the needs and expectations of residents</w:t>
      </w:r>
    </w:p>
    <w:p w14:paraId="2EEA353C" w14:textId="77777777" w:rsidR="003908AE" w:rsidRPr="000609B7" w:rsidRDefault="003908AE" w:rsidP="00F55B78">
      <w:pPr>
        <w:rPr>
          <w:rStyle w:val="markedcontent"/>
          <w:rFonts w:cs="Arial"/>
        </w:rPr>
      </w:pPr>
    </w:p>
    <w:p w14:paraId="7ADFA9B8" w14:textId="0AA32669" w:rsidR="00F50A12" w:rsidRDefault="003908AE" w:rsidP="00F55B78">
      <w:pPr>
        <w:ind w:left="720" w:hanging="720"/>
        <w:rPr>
          <w:rFonts w:eastAsia="Calibri"/>
          <w:szCs w:val="24"/>
        </w:rPr>
      </w:pPr>
      <w:r>
        <w:rPr>
          <w:rFonts w:eastAsia="Calibri"/>
          <w:szCs w:val="24"/>
        </w:rPr>
        <w:t>1.</w:t>
      </w:r>
      <w:r w:rsidR="00777305">
        <w:rPr>
          <w:rFonts w:eastAsia="Calibri"/>
          <w:szCs w:val="24"/>
        </w:rPr>
        <w:t>6</w:t>
      </w:r>
      <w:r>
        <w:rPr>
          <w:rFonts w:eastAsia="Calibri"/>
          <w:szCs w:val="24"/>
        </w:rPr>
        <w:tab/>
      </w:r>
      <w:r w:rsidR="00F50A12">
        <w:rPr>
          <w:rFonts w:eastAsia="Calibri"/>
          <w:szCs w:val="24"/>
        </w:rPr>
        <w:t>It is i</w:t>
      </w:r>
      <w:r w:rsidR="00F50A12" w:rsidRPr="00AB3F46">
        <w:rPr>
          <w:rFonts w:eastAsia="Calibri"/>
          <w:szCs w:val="24"/>
        </w:rPr>
        <w:t xml:space="preserve">mportant to manage </w:t>
      </w:r>
      <w:r w:rsidR="00F50A12">
        <w:rPr>
          <w:rFonts w:eastAsia="Calibri"/>
          <w:szCs w:val="24"/>
        </w:rPr>
        <w:t xml:space="preserve">these </w:t>
      </w:r>
      <w:r w:rsidR="00F50A12" w:rsidRPr="00AB3F46">
        <w:rPr>
          <w:rFonts w:eastAsia="Calibri"/>
          <w:szCs w:val="24"/>
        </w:rPr>
        <w:t>assets effectively and be able to take nuanced investment decisions, based on a range of appropriate factors</w:t>
      </w:r>
      <w:r w:rsidR="00F50A12">
        <w:rPr>
          <w:rFonts w:eastAsia="Calibri"/>
          <w:szCs w:val="24"/>
        </w:rPr>
        <w:t xml:space="preserve"> to ensure they remain viable over the life of the HRA business plan and more importantly continue to provide safe, secure homes for our residents.</w:t>
      </w:r>
    </w:p>
    <w:p w14:paraId="717EEE3A" w14:textId="77777777" w:rsidR="00F50A12" w:rsidRDefault="00F50A12" w:rsidP="00F55B78">
      <w:pPr>
        <w:rPr>
          <w:rFonts w:eastAsia="Calibri"/>
          <w:szCs w:val="24"/>
        </w:rPr>
      </w:pPr>
    </w:p>
    <w:p w14:paraId="2D8626F9" w14:textId="30055034" w:rsidR="00F50A12" w:rsidRPr="00AB3F46" w:rsidRDefault="003F14E4" w:rsidP="00F55B78">
      <w:pPr>
        <w:ind w:left="720" w:hanging="720"/>
        <w:rPr>
          <w:rFonts w:eastAsia="Calibri"/>
          <w:szCs w:val="24"/>
        </w:rPr>
      </w:pPr>
      <w:r>
        <w:rPr>
          <w:rFonts w:eastAsia="Calibri"/>
          <w:szCs w:val="24"/>
        </w:rPr>
        <w:t>1.</w:t>
      </w:r>
      <w:r w:rsidR="00777305">
        <w:rPr>
          <w:rFonts w:eastAsia="Calibri"/>
          <w:szCs w:val="24"/>
        </w:rPr>
        <w:t>7</w:t>
      </w:r>
      <w:r>
        <w:rPr>
          <w:rFonts w:eastAsia="Calibri"/>
          <w:szCs w:val="24"/>
        </w:rPr>
        <w:tab/>
      </w:r>
      <w:r w:rsidR="00F50A12">
        <w:rPr>
          <w:rFonts w:eastAsia="Calibri"/>
          <w:szCs w:val="24"/>
        </w:rPr>
        <w:t xml:space="preserve">At the present time, our investment is weighted towards reactive responsive repairs which are not efficient in terms of ensuring the long term viability of our housing assets and do not deliver the best customer experience for our residents. </w:t>
      </w:r>
    </w:p>
    <w:p w14:paraId="2D7BE2D5" w14:textId="659D5B83" w:rsidR="00A21E68" w:rsidRDefault="00B446CD" w:rsidP="00F55B78">
      <w:pPr>
        <w:ind w:left="720" w:hanging="720"/>
        <w:rPr>
          <w:rFonts w:eastAsiaTheme="minorEastAsia"/>
        </w:rPr>
      </w:pPr>
      <w:r>
        <w:rPr>
          <w:rFonts w:eastAsia="Calibri"/>
          <w:szCs w:val="24"/>
        </w:rPr>
        <w:lastRenderedPageBreak/>
        <w:t>1.</w:t>
      </w:r>
      <w:r w:rsidR="00777305">
        <w:rPr>
          <w:rFonts w:eastAsia="Calibri"/>
          <w:szCs w:val="24"/>
        </w:rPr>
        <w:t>8</w:t>
      </w:r>
      <w:r>
        <w:rPr>
          <w:rFonts w:eastAsia="Calibri"/>
          <w:szCs w:val="24"/>
        </w:rPr>
        <w:tab/>
        <w:t xml:space="preserve">Our Asset Management Strategy </w:t>
      </w:r>
      <w:r w:rsidR="00A21E68">
        <w:rPr>
          <w:rFonts w:eastAsia="Calibri"/>
          <w:szCs w:val="24"/>
        </w:rPr>
        <w:t xml:space="preserve">provides the </w:t>
      </w:r>
      <w:r w:rsidR="00A21E68" w:rsidRPr="00A21E68">
        <w:rPr>
          <w:rFonts w:eastAsia="Calibri"/>
          <w:szCs w:val="24"/>
        </w:rPr>
        <w:t xml:space="preserve">strategic direction and an approach to change </w:t>
      </w:r>
      <w:r w:rsidR="00A21E68">
        <w:rPr>
          <w:rFonts w:eastAsia="Calibri"/>
          <w:szCs w:val="24"/>
        </w:rPr>
        <w:t>the way we work.  It is n</w:t>
      </w:r>
      <w:r w:rsidR="00A21E68" w:rsidRPr="00A21E68">
        <w:rPr>
          <w:rFonts w:eastAsia="Calibri"/>
          <w:szCs w:val="24"/>
        </w:rPr>
        <w:t>ot a description of “business as usual”</w:t>
      </w:r>
      <w:r w:rsidR="00A21E68">
        <w:rPr>
          <w:rFonts w:eastAsia="Calibri"/>
          <w:szCs w:val="24"/>
        </w:rPr>
        <w:t>. It wil</w:t>
      </w:r>
      <w:r w:rsidR="00850B13">
        <w:rPr>
          <w:rFonts w:eastAsia="Calibri"/>
          <w:szCs w:val="24"/>
        </w:rPr>
        <w:t>l</w:t>
      </w:r>
      <w:r w:rsidR="00A21E68">
        <w:rPr>
          <w:rFonts w:eastAsia="Calibri"/>
          <w:szCs w:val="24"/>
        </w:rPr>
        <w:t xml:space="preserve"> allow us to </w:t>
      </w:r>
      <w:r w:rsidR="00A21E68" w:rsidRPr="00B762DD">
        <w:rPr>
          <w:rFonts w:eastAsiaTheme="minorEastAsia"/>
        </w:rPr>
        <w:t>make better, more informed investment decisions and sh</w:t>
      </w:r>
      <w:r w:rsidR="00A21E68">
        <w:rPr>
          <w:rFonts w:eastAsiaTheme="minorEastAsia"/>
        </w:rPr>
        <w:t xml:space="preserve">ift to </w:t>
      </w:r>
      <w:r w:rsidR="00A21E68" w:rsidRPr="00B762DD">
        <w:rPr>
          <w:rFonts w:eastAsiaTheme="minorEastAsia"/>
        </w:rPr>
        <w:t xml:space="preserve">a </w:t>
      </w:r>
      <w:r w:rsidR="00A21E68">
        <w:rPr>
          <w:rFonts w:eastAsiaTheme="minorEastAsia"/>
        </w:rPr>
        <w:t xml:space="preserve">more </w:t>
      </w:r>
      <w:r w:rsidR="00A21E68" w:rsidRPr="00B762DD">
        <w:rPr>
          <w:rFonts w:eastAsiaTheme="minorEastAsia"/>
        </w:rPr>
        <w:t>planned approach</w:t>
      </w:r>
      <w:r w:rsidR="00A21E68">
        <w:rPr>
          <w:rFonts w:eastAsiaTheme="minorEastAsia"/>
        </w:rPr>
        <w:t>.</w:t>
      </w:r>
    </w:p>
    <w:p w14:paraId="2F859B69" w14:textId="33A7D866" w:rsidR="000609B7" w:rsidRDefault="000609B7" w:rsidP="00F55B78">
      <w:pPr>
        <w:ind w:left="720" w:hanging="720"/>
        <w:rPr>
          <w:rFonts w:eastAsiaTheme="minorEastAsia"/>
        </w:rPr>
      </w:pPr>
    </w:p>
    <w:p w14:paraId="649D1053" w14:textId="3B2C8917" w:rsidR="000609B7" w:rsidRPr="00777305" w:rsidRDefault="000609B7" w:rsidP="00F55B78">
      <w:pPr>
        <w:pStyle w:val="ListParagraph"/>
        <w:numPr>
          <w:ilvl w:val="1"/>
          <w:numId w:val="6"/>
        </w:numPr>
        <w:ind w:left="709" w:hanging="643"/>
        <w:rPr>
          <w:rFonts w:eastAsia="TT Hoves" w:cs="Arial"/>
        </w:rPr>
      </w:pPr>
      <w:r w:rsidRPr="00777305">
        <w:rPr>
          <w:rFonts w:cs="Arial"/>
        </w:rPr>
        <w:t xml:space="preserve">The Council’s Vision is “Putting Residents First”, and the Council is committed to </w:t>
      </w:r>
      <w:r w:rsidRPr="00777305">
        <w:rPr>
          <w:rFonts w:eastAsia="TT Hoves" w:cs="Arial"/>
          <w:i/>
          <w:iCs/>
        </w:rPr>
        <w:t>“great customer experiences and community outcomes”.</w:t>
      </w:r>
      <w:r w:rsidRPr="00B762DD">
        <w:rPr>
          <w:rStyle w:val="FootnoteReference"/>
          <w:rFonts w:eastAsia="TT Hoves" w:cs="Arial"/>
          <w:i/>
          <w:iCs/>
        </w:rPr>
        <w:footnoteReference w:id="4"/>
      </w:r>
      <w:r w:rsidRPr="00777305">
        <w:rPr>
          <w:rFonts w:eastAsia="TT Hoves" w:cs="Arial"/>
          <w:i/>
          <w:iCs/>
        </w:rPr>
        <w:t xml:space="preserve"> </w:t>
      </w:r>
      <w:r w:rsidRPr="00777305">
        <w:rPr>
          <w:rFonts w:eastAsia="TT Hoves" w:cs="Arial"/>
        </w:rPr>
        <w:t>It is therefore vital that engagement with residents and communities and the overall customer experience is considered throughout the delivery of the AMS and not dealt with as a separate, discreet matter.</w:t>
      </w:r>
    </w:p>
    <w:p w14:paraId="121A180B" w14:textId="77777777" w:rsidR="000609B7" w:rsidRPr="00B762DD" w:rsidRDefault="000609B7" w:rsidP="00F55B78">
      <w:pPr>
        <w:pStyle w:val="ListParagraph"/>
        <w:rPr>
          <w:rFonts w:eastAsia="TT Hoves" w:cs="Arial"/>
          <w:i/>
          <w:iCs/>
          <w:sz w:val="22"/>
        </w:rPr>
      </w:pPr>
    </w:p>
    <w:p w14:paraId="78882201" w14:textId="0E833749" w:rsidR="000609B7" w:rsidRPr="00E97329" w:rsidRDefault="000609B7" w:rsidP="00F55B78">
      <w:pPr>
        <w:pStyle w:val="ListParagraph"/>
        <w:numPr>
          <w:ilvl w:val="1"/>
          <w:numId w:val="6"/>
        </w:numPr>
        <w:ind w:left="709" w:hanging="709"/>
        <w:rPr>
          <w:rFonts w:cs="Arial"/>
        </w:rPr>
      </w:pPr>
      <w:r w:rsidRPr="00E97329">
        <w:rPr>
          <w:rFonts w:cs="Arial"/>
        </w:rPr>
        <w:t xml:space="preserve">In this challenging operating environment, the need for genuinely affordable, safe, sustainable, and well-maintained homes remains as important as ever. This is a key moment for our service to reflect and ensure we are adequately prepared to meet the challenges ahead. </w:t>
      </w:r>
    </w:p>
    <w:p w14:paraId="795E71FF" w14:textId="77777777" w:rsidR="00850B13" w:rsidRPr="00850B13" w:rsidRDefault="00850B13" w:rsidP="00F55B78">
      <w:pPr>
        <w:pStyle w:val="ListParagraph"/>
        <w:rPr>
          <w:rFonts w:eastAsiaTheme="minorHAnsi" w:cs="Arial"/>
        </w:rPr>
      </w:pPr>
    </w:p>
    <w:p w14:paraId="091722CE" w14:textId="261BBE18" w:rsidR="00B54CF3" w:rsidRPr="000275FC" w:rsidRDefault="004B08AE" w:rsidP="00D52C54">
      <w:pPr>
        <w:ind w:left="709" w:hanging="709"/>
        <w:rPr>
          <w:rStyle w:val="markedcontent"/>
          <w:rFonts w:cs="Arial"/>
          <w:sz w:val="22"/>
        </w:rPr>
      </w:pPr>
      <w:r>
        <w:rPr>
          <w:rStyle w:val="markedcontent"/>
          <w:rFonts w:cs="Arial"/>
        </w:rPr>
        <w:t>1.11</w:t>
      </w:r>
      <w:r>
        <w:rPr>
          <w:rStyle w:val="markedcontent"/>
          <w:rFonts w:cs="Arial"/>
        </w:rPr>
        <w:tab/>
      </w:r>
      <w:r w:rsidR="00153AB6" w:rsidRPr="00C73ED2">
        <w:rPr>
          <w:rStyle w:val="markedcontent"/>
          <w:rFonts w:cs="Arial"/>
        </w:rPr>
        <w:t>Harrow’s A</w:t>
      </w:r>
      <w:r w:rsidR="00B54CF3" w:rsidRPr="00C73ED2">
        <w:rPr>
          <w:rStyle w:val="markedcontent"/>
          <w:rFonts w:cs="Arial"/>
        </w:rPr>
        <w:t xml:space="preserve">sset </w:t>
      </w:r>
      <w:r w:rsidR="00153AB6" w:rsidRPr="00C73ED2">
        <w:rPr>
          <w:rStyle w:val="markedcontent"/>
          <w:rFonts w:cs="Arial"/>
        </w:rPr>
        <w:t>M</w:t>
      </w:r>
      <w:r w:rsidR="00B54CF3" w:rsidRPr="00C73ED2">
        <w:rPr>
          <w:rStyle w:val="markedcontent"/>
          <w:rFonts w:cs="Arial"/>
        </w:rPr>
        <w:t xml:space="preserve">anagement </w:t>
      </w:r>
      <w:r w:rsidR="00153AB6" w:rsidRPr="00C73ED2">
        <w:rPr>
          <w:rStyle w:val="markedcontent"/>
          <w:rFonts w:cs="Arial"/>
        </w:rPr>
        <w:t>S</w:t>
      </w:r>
      <w:r w:rsidR="00B54CF3" w:rsidRPr="00C73ED2">
        <w:rPr>
          <w:rStyle w:val="markedcontent"/>
          <w:rFonts w:cs="Arial"/>
        </w:rPr>
        <w:t>trategy</w:t>
      </w:r>
      <w:r w:rsidR="00153AB6" w:rsidRPr="00C73ED2">
        <w:rPr>
          <w:rStyle w:val="markedcontent"/>
          <w:rFonts w:cs="Arial"/>
        </w:rPr>
        <w:t xml:space="preserve"> provides a framework for the </w:t>
      </w:r>
      <w:r w:rsidR="00B54CF3" w:rsidRPr="00C73ED2">
        <w:rPr>
          <w:rStyle w:val="markedcontent"/>
          <w:rFonts w:cs="Arial"/>
        </w:rPr>
        <w:t xml:space="preserve">    </w:t>
      </w:r>
      <w:r w:rsidR="00153AB6" w:rsidRPr="00C73ED2">
        <w:rPr>
          <w:rStyle w:val="markedcontent"/>
          <w:rFonts w:cs="Arial"/>
        </w:rPr>
        <w:t xml:space="preserve">Council to manage its housing stock efficiently and effectively over the long term and supports the delivery of the Council’s key strategic objectives.    </w:t>
      </w:r>
    </w:p>
    <w:p w14:paraId="0B179AC2" w14:textId="77777777" w:rsidR="00B54CF3" w:rsidRPr="00467B1C" w:rsidRDefault="00B54CF3" w:rsidP="00F55B78">
      <w:pPr>
        <w:pStyle w:val="ListParagraph"/>
        <w:ind w:left="360"/>
        <w:rPr>
          <w:rStyle w:val="markedcontent"/>
          <w:rFonts w:cs="Arial"/>
          <w:sz w:val="22"/>
        </w:rPr>
      </w:pPr>
    </w:p>
    <w:p w14:paraId="4045E4E8" w14:textId="2FFE20BD" w:rsidR="00153AB6" w:rsidRPr="00B762DD" w:rsidRDefault="00153AB6" w:rsidP="00F55B78">
      <w:pPr>
        <w:ind w:left="720" w:hanging="720"/>
        <w:rPr>
          <w:rFonts w:cs="Arial"/>
          <w:lang w:eastAsia="en-GB"/>
        </w:rPr>
      </w:pPr>
      <w:r w:rsidRPr="00B762DD">
        <w:rPr>
          <w:rStyle w:val="markedcontent"/>
          <w:rFonts w:cs="Arial"/>
        </w:rPr>
        <w:t>1.</w:t>
      </w:r>
      <w:r w:rsidR="004B08AE">
        <w:rPr>
          <w:rStyle w:val="markedcontent"/>
          <w:rFonts w:cs="Arial"/>
        </w:rPr>
        <w:t>12</w:t>
      </w:r>
      <w:r>
        <w:rPr>
          <w:rStyle w:val="markedcontent"/>
          <w:rFonts w:ascii="TT Hoves" w:hAnsi="TT Hoves" w:cs="Arial"/>
        </w:rPr>
        <w:tab/>
      </w:r>
      <w:r w:rsidRPr="00B762DD">
        <w:rPr>
          <w:rStyle w:val="markedcontent"/>
          <w:rFonts w:cs="Arial"/>
        </w:rPr>
        <w:t>Underpinning the AMS is the ambition for everyone in Harrow to have access to good quality, secure, well maintained and genuinely affordable homes. This includes providing homes that meet</w:t>
      </w:r>
      <w:r w:rsidRPr="00B762DD">
        <w:rPr>
          <w:rFonts w:cs="Arial"/>
        </w:rPr>
        <w:t xml:space="preserve"> </w:t>
      </w:r>
      <w:r w:rsidRPr="00B762DD">
        <w:rPr>
          <w:rStyle w:val="markedcontent"/>
          <w:rFonts w:cs="Arial"/>
        </w:rPr>
        <w:t xml:space="preserve">the needs and expectations of existing and future residents. This ambition clearly supports the Council’s Vision - </w:t>
      </w:r>
      <w:r w:rsidRPr="00B762DD">
        <w:rPr>
          <w:rStyle w:val="markedcontent"/>
          <w:rFonts w:cs="Arial"/>
          <w:i/>
          <w:iCs/>
        </w:rPr>
        <w:t>Putting Residents First</w:t>
      </w:r>
      <w:r w:rsidRPr="00B762DD">
        <w:rPr>
          <w:rStyle w:val="FootnoteReference"/>
          <w:rFonts w:cs="Arial"/>
        </w:rPr>
        <w:footnoteReference w:id="5"/>
      </w:r>
      <w:r w:rsidRPr="00B762DD">
        <w:rPr>
          <w:rStyle w:val="markedcontent"/>
          <w:rFonts w:cs="Arial"/>
        </w:rPr>
        <w:t xml:space="preserve"> and aligns with the Harrow</w:t>
      </w:r>
      <w:r w:rsidRPr="00B762DD">
        <w:rPr>
          <w:rFonts w:cs="Arial"/>
          <w:lang w:eastAsia="en-GB"/>
        </w:rPr>
        <w:t xml:space="preserve"> Borough Plan 2030</w:t>
      </w:r>
      <w:r w:rsidRPr="00B762DD">
        <w:rPr>
          <w:rStyle w:val="FootnoteReference"/>
          <w:rFonts w:cs="Arial"/>
        </w:rPr>
        <w:footnoteReference w:id="6"/>
      </w:r>
      <w:r w:rsidRPr="00B762DD">
        <w:rPr>
          <w:rFonts w:cs="Arial"/>
          <w:lang w:eastAsia="en-GB"/>
        </w:rPr>
        <w:t xml:space="preserve"> key goals:</w:t>
      </w:r>
    </w:p>
    <w:p w14:paraId="7D049EC5" w14:textId="77777777" w:rsidR="00153AB6" w:rsidRDefault="00153AB6" w:rsidP="00F55B78">
      <w:pPr>
        <w:ind w:left="720" w:hanging="720"/>
        <w:rPr>
          <w:lang w:eastAsia="en-GB"/>
        </w:rPr>
      </w:pPr>
    </w:p>
    <w:p w14:paraId="546B7B8F"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Improve the environment and address climate change by becoming a carbon neutral borough by 2030.</w:t>
      </w:r>
    </w:p>
    <w:p w14:paraId="3A7010A4"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Tackle poverty and inequality by removing the variation in life expectancy in the borough.</w:t>
      </w:r>
    </w:p>
    <w:p w14:paraId="783B286F"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Build homes and infrastructure by building over 1,500 homes, including council homes and affordable homes.</w:t>
      </w:r>
    </w:p>
    <w:p w14:paraId="108B27C2"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Address health and social care inequality by reducing health inequalities across communities in the borough.</w:t>
      </w:r>
    </w:p>
    <w:p w14:paraId="4580F3A6"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Develop a thriving economy by supporting our high streets to flourish and be vibrant.</w:t>
      </w:r>
    </w:p>
    <w:p w14:paraId="7F100DA7"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Sustain quality education and training by making Harrow one of the best boroughs for children and young people to live and grow up in.</w:t>
      </w:r>
    </w:p>
    <w:p w14:paraId="25E8C485"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Celebrate communities and cohesion by continuously celebrating the diverse</w:t>
      </w:r>
    </w:p>
    <w:p w14:paraId="6DC7D7BD"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heritage within the borough and challenging all forms of discrimination.</w:t>
      </w:r>
    </w:p>
    <w:p w14:paraId="3D2E096B" w14:textId="0385E332" w:rsidR="00153AB6" w:rsidRPr="00B762DD" w:rsidRDefault="00153AB6" w:rsidP="00F55B78">
      <w:pPr>
        <w:pStyle w:val="ListParagraph"/>
        <w:numPr>
          <w:ilvl w:val="0"/>
          <w:numId w:val="5"/>
        </w:numPr>
        <w:contextualSpacing/>
        <w:rPr>
          <w:rFonts w:eastAsiaTheme="minorHAnsi" w:cs="Arial"/>
          <w:szCs w:val="24"/>
          <w:lang w:eastAsia="en-GB"/>
        </w:rPr>
      </w:pPr>
      <w:r w:rsidRPr="00B762DD">
        <w:rPr>
          <w:rFonts w:cs="Arial"/>
          <w:lang w:eastAsia="en-GB"/>
        </w:rPr>
        <w:t>Maintain low crime and improve community safety by keeping Harrow one of the safest boroughs in London.</w:t>
      </w:r>
      <w:r w:rsidRPr="00B762DD">
        <w:rPr>
          <w:rFonts w:cs="Arial"/>
          <w:szCs w:val="24"/>
          <w:lang w:eastAsia="en-GB"/>
        </w:rPr>
        <w:t xml:space="preserve"> </w:t>
      </w:r>
    </w:p>
    <w:p w14:paraId="2A2C25D7" w14:textId="77777777" w:rsidR="00153AB6" w:rsidRDefault="00153AB6" w:rsidP="00F55B78">
      <w:pPr>
        <w:rPr>
          <w:rFonts w:ascii="TT Hoves" w:hAnsi="TT Hoves" w:cs="Arial"/>
          <w:sz w:val="22"/>
          <w:szCs w:val="22"/>
          <w:lang w:eastAsia="en-GB"/>
        </w:rPr>
      </w:pPr>
    </w:p>
    <w:p w14:paraId="0209A63F" w14:textId="3A1ED68E" w:rsidR="00153AB6" w:rsidRDefault="00153AB6" w:rsidP="00F55B78">
      <w:pPr>
        <w:ind w:left="720" w:hanging="720"/>
        <w:rPr>
          <w:rFonts w:cs="Arial"/>
        </w:rPr>
      </w:pPr>
      <w:r w:rsidRPr="00153AB6">
        <w:rPr>
          <w:rFonts w:eastAsiaTheme="minorHAnsi" w:cs="Arial"/>
          <w:szCs w:val="24"/>
        </w:rPr>
        <w:lastRenderedPageBreak/>
        <w:t>1.9</w:t>
      </w:r>
      <w:r w:rsidRPr="00153AB6">
        <w:rPr>
          <w:rFonts w:eastAsiaTheme="minorHAnsi" w:cs="Arial"/>
          <w:szCs w:val="24"/>
        </w:rPr>
        <w:tab/>
      </w:r>
      <w:r w:rsidRPr="00B762DD">
        <w:rPr>
          <w:rFonts w:cs="Arial"/>
        </w:rPr>
        <w:t>In response to the current and emerging challenges the service faces, this AMS aims to deliver five key objectives:</w:t>
      </w:r>
    </w:p>
    <w:p w14:paraId="4C19E38C" w14:textId="77777777" w:rsidR="00153AB6" w:rsidRPr="00B762DD" w:rsidRDefault="00153AB6" w:rsidP="00F55B78">
      <w:pPr>
        <w:ind w:left="720" w:hanging="720"/>
        <w:rPr>
          <w:rFonts w:cs="Arial"/>
          <w:sz w:val="22"/>
        </w:rPr>
      </w:pPr>
    </w:p>
    <w:p w14:paraId="473B7343"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Target investment and growth to ensure value for money through an “Active Asset Management” approach.</w:t>
      </w:r>
    </w:p>
    <w:p w14:paraId="4EC1A9E8"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Provide safe and sound homes which meet the needs of current and future residents.</w:t>
      </w:r>
    </w:p>
    <w:p w14:paraId="76A00E95"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Help minimise the environmental impact of housing.</w:t>
      </w:r>
    </w:p>
    <w:p w14:paraId="755C5A25" w14:textId="77777777" w:rsidR="00153AB6" w:rsidRPr="00B762DD" w:rsidRDefault="00153AB6" w:rsidP="00F55B78">
      <w:pPr>
        <w:pStyle w:val="ListParagraph"/>
        <w:numPr>
          <w:ilvl w:val="0"/>
          <w:numId w:val="5"/>
        </w:numPr>
        <w:contextualSpacing/>
        <w:rPr>
          <w:rFonts w:cs="Arial"/>
          <w:lang w:eastAsia="en-GB"/>
        </w:rPr>
      </w:pPr>
      <w:r w:rsidRPr="00B762DD">
        <w:rPr>
          <w:rFonts w:cs="Arial"/>
          <w:lang w:eastAsia="en-GB"/>
        </w:rPr>
        <w:t>Manage homes and assets efficiently and effectively.</w:t>
      </w:r>
    </w:p>
    <w:p w14:paraId="72FB2C8F" w14:textId="2DFFA40F" w:rsidR="00153AB6" w:rsidRDefault="00153AB6" w:rsidP="00F55B78">
      <w:pPr>
        <w:pStyle w:val="ListParagraph"/>
        <w:numPr>
          <w:ilvl w:val="0"/>
          <w:numId w:val="5"/>
        </w:numPr>
        <w:contextualSpacing/>
        <w:rPr>
          <w:rFonts w:cs="Arial"/>
          <w:lang w:eastAsia="en-GB"/>
        </w:rPr>
      </w:pPr>
      <w:r w:rsidRPr="00B762DD">
        <w:rPr>
          <w:rFonts w:cs="Arial"/>
          <w:lang w:eastAsia="en-GB"/>
        </w:rPr>
        <w:t>Engage with residents and communities, maximising the customer experience.</w:t>
      </w:r>
    </w:p>
    <w:p w14:paraId="1E49EF9F" w14:textId="157A578B" w:rsidR="007A2336" w:rsidRPr="00B762DD" w:rsidRDefault="007A2336" w:rsidP="00F55B78">
      <w:pPr>
        <w:rPr>
          <w:rFonts w:eastAsia="Calibri"/>
          <w:b/>
          <w:bCs/>
        </w:rPr>
      </w:pPr>
    </w:p>
    <w:p w14:paraId="0516660A" w14:textId="1D211129" w:rsidR="007A2336" w:rsidRDefault="007A2336" w:rsidP="00F55B78">
      <w:pPr>
        <w:rPr>
          <w:rFonts w:eastAsia="Calibri"/>
          <w:b/>
          <w:bCs/>
        </w:rPr>
      </w:pPr>
      <w:r w:rsidRPr="00B762DD">
        <w:rPr>
          <w:rFonts w:eastAsia="Calibri"/>
          <w:b/>
          <w:bCs/>
        </w:rPr>
        <w:t>2.0</w:t>
      </w:r>
      <w:r w:rsidRPr="00B762DD">
        <w:rPr>
          <w:rFonts w:eastAsia="Calibri"/>
          <w:b/>
          <w:bCs/>
        </w:rPr>
        <w:tab/>
      </w:r>
      <w:r w:rsidR="00AE095C" w:rsidRPr="00B762DD">
        <w:rPr>
          <w:rFonts w:eastAsia="Calibri"/>
          <w:b/>
          <w:bCs/>
        </w:rPr>
        <w:t>Delivering our objectives</w:t>
      </w:r>
    </w:p>
    <w:p w14:paraId="189C0586" w14:textId="348C9EED" w:rsidR="00AE095C" w:rsidRDefault="00AE095C" w:rsidP="00F55B78">
      <w:pPr>
        <w:rPr>
          <w:rFonts w:eastAsia="Calibri"/>
          <w:b/>
          <w:bCs/>
        </w:rPr>
      </w:pPr>
    </w:p>
    <w:p w14:paraId="11B9BB40" w14:textId="402ECE68" w:rsidR="00AE095C" w:rsidRPr="00B762DD" w:rsidRDefault="00AE095C" w:rsidP="00F55B78">
      <w:pPr>
        <w:ind w:left="720" w:hanging="720"/>
        <w:rPr>
          <w:rFonts w:eastAsia="Calibri"/>
        </w:rPr>
      </w:pPr>
      <w:r w:rsidRPr="00B762DD">
        <w:rPr>
          <w:rFonts w:eastAsia="Calibri"/>
        </w:rPr>
        <w:t>2.1</w:t>
      </w:r>
      <w:r w:rsidRPr="00B762DD">
        <w:rPr>
          <w:rFonts w:eastAsia="Calibri"/>
        </w:rPr>
        <w:tab/>
      </w:r>
      <w:r>
        <w:rPr>
          <w:rFonts w:eastAsia="Calibri"/>
        </w:rPr>
        <w:t xml:space="preserve">The </w:t>
      </w:r>
      <w:r w:rsidR="000E5E12">
        <w:rPr>
          <w:rFonts w:eastAsia="Calibri"/>
        </w:rPr>
        <w:t xml:space="preserve">Housing </w:t>
      </w:r>
      <w:r>
        <w:rPr>
          <w:rFonts w:eastAsia="Calibri"/>
        </w:rPr>
        <w:t xml:space="preserve">AMS explains </w:t>
      </w:r>
      <w:r w:rsidR="000E5E12">
        <w:rPr>
          <w:rFonts w:eastAsia="Calibri"/>
        </w:rPr>
        <w:t xml:space="preserve">how we will deliver our 5 key objectives.  </w:t>
      </w:r>
    </w:p>
    <w:p w14:paraId="6699DC62" w14:textId="37A87644" w:rsidR="00AE095C" w:rsidRDefault="00AE095C" w:rsidP="00F55B78">
      <w:pPr>
        <w:rPr>
          <w:rFonts w:eastAsia="Calibri"/>
          <w:b/>
          <w:bCs/>
        </w:rPr>
      </w:pPr>
    </w:p>
    <w:p w14:paraId="54CDE04D" w14:textId="0619ABD9" w:rsidR="00AE095C" w:rsidRPr="00B762DD" w:rsidRDefault="00AE095C" w:rsidP="00F55B78">
      <w:pPr>
        <w:ind w:left="720" w:hanging="720"/>
        <w:rPr>
          <w:rFonts w:eastAsia="Calibri"/>
          <w:i/>
          <w:iCs/>
        </w:rPr>
      </w:pPr>
      <w:r w:rsidRPr="00B762DD">
        <w:rPr>
          <w:rFonts w:eastAsia="Calibri"/>
        </w:rPr>
        <w:t>2.2</w:t>
      </w:r>
      <w:r w:rsidRPr="00B762DD">
        <w:rPr>
          <w:rFonts w:eastAsia="Calibri"/>
        </w:rPr>
        <w:tab/>
      </w:r>
      <w:r w:rsidR="003D4CDC" w:rsidRPr="00B762DD">
        <w:rPr>
          <w:rFonts w:eastAsia="Calibri"/>
          <w:i/>
          <w:iCs/>
        </w:rPr>
        <w:t>Target investment and growth through an active asset management approach.</w:t>
      </w:r>
    </w:p>
    <w:p w14:paraId="2C312689" w14:textId="21E24D92" w:rsidR="007A2336" w:rsidRDefault="007A2336" w:rsidP="00F55B78">
      <w:pPr>
        <w:ind w:left="720" w:hanging="720"/>
        <w:rPr>
          <w:rFonts w:eastAsia="Calibri"/>
        </w:rPr>
      </w:pPr>
    </w:p>
    <w:p w14:paraId="1B635B7F" w14:textId="495F8788" w:rsidR="003D4CDC" w:rsidRDefault="003D4CDC" w:rsidP="00F55B78">
      <w:pPr>
        <w:ind w:left="720" w:hanging="720"/>
        <w:rPr>
          <w:rFonts w:cs="Arial"/>
        </w:rPr>
      </w:pPr>
      <w:r>
        <w:rPr>
          <w:rFonts w:eastAsia="Calibri"/>
        </w:rPr>
        <w:t>2.3</w:t>
      </w:r>
      <w:r>
        <w:rPr>
          <w:rFonts w:eastAsia="Calibri"/>
        </w:rPr>
        <w:tab/>
      </w:r>
      <w:r w:rsidRPr="00B762DD">
        <w:rPr>
          <w:rFonts w:cs="Arial"/>
        </w:rPr>
        <w:t xml:space="preserve">This approach will change how we work over the medium-to long-term and will help improve our understanding of the inherent investment value of our stock. It will allow us to really target where investment is needed, supporting value for money and resident satisfaction. </w:t>
      </w:r>
    </w:p>
    <w:p w14:paraId="70DF414C" w14:textId="3FD8F918" w:rsidR="003D4CDC" w:rsidRDefault="003D4CDC" w:rsidP="00F55B78">
      <w:pPr>
        <w:ind w:left="720" w:hanging="720"/>
        <w:rPr>
          <w:rFonts w:ascii="TT Hoves" w:hAnsi="TT Hoves"/>
          <w:sz w:val="22"/>
        </w:rPr>
      </w:pPr>
    </w:p>
    <w:p w14:paraId="1BB2BCE7" w14:textId="064A4356" w:rsidR="003D4CDC" w:rsidRDefault="003D4CDC" w:rsidP="00F55B78">
      <w:pPr>
        <w:ind w:left="720" w:hanging="720"/>
        <w:rPr>
          <w:rFonts w:cs="Arial"/>
          <w:szCs w:val="24"/>
          <w:shd w:val="clear" w:color="auto" w:fill="FFFFFF"/>
        </w:rPr>
      </w:pPr>
      <w:r w:rsidRPr="00B762DD">
        <w:rPr>
          <w:rFonts w:cs="Arial"/>
          <w:sz w:val="22"/>
        </w:rPr>
        <w:t>2.4</w:t>
      </w:r>
      <w:r w:rsidRPr="00B762DD">
        <w:rPr>
          <w:rFonts w:cs="Arial"/>
          <w:sz w:val="22"/>
        </w:rPr>
        <w:tab/>
      </w:r>
      <w:r>
        <w:rPr>
          <w:rFonts w:cs="Arial"/>
          <w:szCs w:val="24"/>
        </w:rPr>
        <w:t>This work has already started.</w:t>
      </w:r>
      <w:r w:rsidRPr="00B762DD">
        <w:rPr>
          <w:rFonts w:cs="Arial"/>
          <w:szCs w:val="24"/>
        </w:rPr>
        <w:t xml:space="preserve"> The Council commissioned Savills to undertake initial investment value modelling across our housing stock using the </w:t>
      </w:r>
      <w:r w:rsidR="00467B1C">
        <w:rPr>
          <w:rFonts w:cs="Arial"/>
          <w:szCs w:val="24"/>
        </w:rPr>
        <w:t>Social</w:t>
      </w:r>
      <w:r w:rsidR="00467B1C" w:rsidRPr="00B762DD">
        <w:rPr>
          <w:rFonts w:cs="Arial"/>
          <w:szCs w:val="24"/>
        </w:rPr>
        <w:t xml:space="preserve"> </w:t>
      </w:r>
      <w:r w:rsidRPr="00B762DD">
        <w:rPr>
          <w:rFonts w:cs="Arial"/>
          <w:szCs w:val="24"/>
        </w:rPr>
        <w:t>Housing Asset Performance Evaluation (SHAPE) model. The model uses a range of financial inputs</w:t>
      </w:r>
      <w:r w:rsidRPr="00B762DD">
        <w:rPr>
          <w:rStyle w:val="FootnoteReference"/>
          <w:rFonts w:cs="Arial"/>
          <w:szCs w:val="24"/>
        </w:rPr>
        <w:footnoteReference w:id="7"/>
      </w:r>
      <w:r w:rsidRPr="00B762DD">
        <w:rPr>
          <w:rFonts w:cs="Arial"/>
          <w:szCs w:val="24"/>
        </w:rPr>
        <w:t xml:space="preserve"> to calculate the ‘value’ of our assets over a 30-year forecast period and incorporates a range of social objective measures (split across Home, Customer, and Community categories) to derive an overall evaluation of stock performance. </w:t>
      </w:r>
      <w:r w:rsidRPr="00B762DD">
        <w:rPr>
          <w:rFonts w:cs="Arial"/>
          <w:szCs w:val="24"/>
          <w:shd w:val="clear" w:color="auto" w:fill="FFFFFF"/>
        </w:rPr>
        <w:t>The modelling provides a sound basis for Step 1 of the ‘</w:t>
      </w:r>
      <w:r w:rsidRPr="00B762DD">
        <w:rPr>
          <w:rFonts w:cs="Arial"/>
          <w:i/>
          <w:iCs/>
          <w:szCs w:val="24"/>
          <w:shd w:val="clear" w:color="auto" w:fill="FFFFFF"/>
        </w:rPr>
        <w:t>Active Asset Management</w:t>
      </w:r>
      <w:r w:rsidRPr="00B762DD">
        <w:rPr>
          <w:rFonts w:cs="Arial"/>
          <w:szCs w:val="24"/>
          <w:shd w:val="clear" w:color="auto" w:fill="FFFFFF"/>
        </w:rPr>
        <w:t xml:space="preserve">’ process and is essential for the Council to identify investment needs, poor performing stock and potential growth opportunities. </w:t>
      </w:r>
    </w:p>
    <w:p w14:paraId="157BEF8C" w14:textId="77777777" w:rsidR="00600F78" w:rsidRDefault="00600F78" w:rsidP="00F55B78">
      <w:pPr>
        <w:ind w:left="720" w:hanging="720"/>
        <w:rPr>
          <w:rFonts w:cs="Arial"/>
          <w:szCs w:val="24"/>
          <w:shd w:val="clear" w:color="auto" w:fill="FFFFFF"/>
        </w:rPr>
      </w:pPr>
    </w:p>
    <w:p w14:paraId="4A632F19" w14:textId="00D485D9" w:rsidR="003D4CDC" w:rsidRDefault="003D4CDC" w:rsidP="00F55B78">
      <w:pPr>
        <w:ind w:left="720" w:hanging="720"/>
        <w:rPr>
          <w:rFonts w:cs="Arial"/>
          <w:szCs w:val="24"/>
          <w:lang w:eastAsia="en-GB"/>
        </w:rPr>
      </w:pPr>
      <w:r>
        <w:rPr>
          <w:rFonts w:cs="Arial"/>
          <w:sz w:val="22"/>
        </w:rPr>
        <w:t>2</w:t>
      </w:r>
      <w:r w:rsidR="00980A09">
        <w:rPr>
          <w:rFonts w:cs="Arial"/>
          <w:sz w:val="22"/>
        </w:rPr>
        <w:t>.</w:t>
      </w:r>
      <w:r>
        <w:rPr>
          <w:rFonts w:cs="Arial"/>
          <w:sz w:val="22"/>
        </w:rPr>
        <w:t xml:space="preserve">5 </w:t>
      </w:r>
      <w:r>
        <w:rPr>
          <w:rFonts w:cs="Arial"/>
          <w:sz w:val="22"/>
        </w:rPr>
        <w:tab/>
      </w:r>
      <w:r w:rsidRPr="00D52C54">
        <w:rPr>
          <w:rFonts w:cs="Arial"/>
          <w:szCs w:val="24"/>
        </w:rPr>
        <w:t>Further work will take place as we deliver stock options appra</w:t>
      </w:r>
      <w:r w:rsidR="00980A09" w:rsidRPr="00D52C54">
        <w:rPr>
          <w:rFonts w:cs="Arial"/>
          <w:szCs w:val="24"/>
        </w:rPr>
        <w:t>i</w:t>
      </w:r>
      <w:r w:rsidRPr="00D52C54">
        <w:rPr>
          <w:rFonts w:cs="Arial"/>
          <w:szCs w:val="24"/>
        </w:rPr>
        <w:t>sals for</w:t>
      </w:r>
      <w:r w:rsidRPr="00A90281">
        <w:rPr>
          <w:rFonts w:cs="Arial"/>
          <w:szCs w:val="24"/>
          <w:lang w:eastAsia="en-GB"/>
        </w:rPr>
        <w:t xml:space="preserve"> </w:t>
      </w:r>
      <w:r w:rsidR="00980A09" w:rsidRPr="00ED2423">
        <w:rPr>
          <w:rFonts w:cs="Arial"/>
          <w:szCs w:val="24"/>
          <w:lang w:eastAsia="en-GB"/>
        </w:rPr>
        <w:t>our</w:t>
      </w:r>
      <w:r w:rsidR="00980A09">
        <w:rPr>
          <w:rFonts w:cs="Arial"/>
          <w:szCs w:val="24"/>
          <w:lang w:eastAsia="en-GB"/>
        </w:rPr>
        <w:t xml:space="preserve"> poorly performing stock .  Again this flows from our SHAPE modelling.</w:t>
      </w:r>
    </w:p>
    <w:p w14:paraId="741F9837" w14:textId="7B1F73A2" w:rsidR="00980A09" w:rsidRDefault="00980A09" w:rsidP="00F55B78">
      <w:pPr>
        <w:ind w:left="720" w:hanging="720"/>
        <w:rPr>
          <w:rFonts w:cs="Arial"/>
          <w:szCs w:val="24"/>
          <w:lang w:eastAsia="en-GB"/>
        </w:rPr>
      </w:pPr>
    </w:p>
    <w:p w14:paraId="7A982883" w14:textId="528CD7EA" w:rsidR="00980A09" w:rsidRDefault="00980A09" w:rsidP="00F55B78">
      <w:pPr>
        <w:rPr>
          <w:rFonts w:cs="Arial"/>
        </w:rPr>
      </w:pPr>
      <w:r>
        <w:rPr>
          <w:rFonts w:cs="Arial"/>
          <w:szCs w:val="24"/>
          <w:lang w:eastAsia="en-GB"/>
        </w:rPr>
        <w:t>2.6</w:t>
      </w:r>
      <w:r>
        <w:rPr>
          <w:rFonts w:cs="Arial"/>
          <w:szCs w:val="24"/>
          <w:lang w:eastAsia="en-GB"/>
        </w:rPr>
        <w:tab/>
      </w:r>
      <w:r w:rsidRPr="00B762DD">
        <w:rPr>
          <w:rFonts w:cs="Arial"/>
        </w:rPr>
        <w:t>The following approach will be applied:</w:t>
      </w:r>
    </w:p>
    <w:p w14:paraId="004408EC" w14:textId="77777777" w:rsidR="00980A09" w:rsidRPr="00B762DD" w:rsidRDefault="00980A09" w:rsidP="00F55B78">
      <w:pPr>
        <w:rPr>
          <w:rFonts w:cs="Arial"/>
          <w:sz w:val="22"/>
        </w:rPr>
      </w:pPr>
    </w:p>
    <w:p w14:paraId="3A57139D" w14:textId="77777777" w:rsidR="00980A09" w:rsidRPr="00B762DD" w:rsidRDefault="00980A09" w:rsidP="00F55B78">
      <w:pPr>
        <w:pStyle w:val="ListParagraph"/>
        <w:numPr>
          <w:ilvl w:val="0"/>
          <w:numId w:val="7"/>
        </w:numPr>
        <w:spacing w:after="160" w:line="256" w:lineRule="auto"/>
        <w:ind w:right="296"/>
        <w:contextualSpacing/>
        <w:rPr>
          <w:rFonts w:cs="Arial"/>
        </w:rPr>
      </w:pPr>
      <w:r w:rsidRPr="00B762DD">
        <w:rPr>
          <w:rFonts w:cs="Arial"/>
        </w:rPr>
        <w:t>Review – pre-assessment of sites identified as poorly performing based on an initial assessment of validated stock data.</w:t>
      </w:r>
    </w:p>
    <w:p w14:paraId="399848C6" w14:textId="77777777" w:rsidR="00980A09" w:rsidRPr="00B762DD" w:rsidRDefault="00980A09" w:rsidP="00F55B78">
      <w:pPr>
        <w:pStyle w:val="ListParagraph"/>
        <w:numPr>
          <w:ilvl w:val="0"/>
          <w:numId w:val="7"/>
        </w:numPr>
        <w:spacing w:after="160" w:line="256" w:lineRule="auto"/>
        <w:ind w:right="296"/>
        <w:contextualSpacing/>
        <w:rPr>
          <w:rFonts w:cs="Arial"/>
        </w:rPr>
      </w:pPr>
      <w:r w:rsidRPr="00B762DD">
        <w:rPr>
          <w:rFonts w:cs="Arial"/>
        </w:rPr>
        <w:t>Retrofit – understanding the costs and measures involved in order to bring properties / schemes up to required statutory standards, and move upwards through the SHAPE model banding (i.e. Red to Amber).</w:t>
      </w:r>
    </w:p>
    <w:p w14:paraId="222CAC7F" w14:textId="1B873DB2" w:rsidR="00980A09" w:rsidRDefault="00980A09" w:rsidP="00F55B78">
      <w:pPr>
        <w:pStyle w:val="ListParagraph"/>
        <w:numPr>
          <w:ilvl w:val="0"/>
          <w:numId w:val="7"/>
        </w:numPr>
        <w:spacing w:after="160" w:line="256" w:lineRule="auto"/>
        <w:ind w:right="707"/>
        <w:contextualSpacing/>
        <w:rPr>
          <w:rFonts w:cs="Arial"/>
        </w:rPr>
      </w:pPr>
      <w:r w:rsidRPr="00B762DD">
        <w:rPr>
          <w:rFonts w:cs="Arial"/>
        </w:rPr>
        <w:lastRenderedPageBreak/>
        <w:t xml:space="preserve">Rethink – For cases where it is not viable to retrofit or repair, a fundamental rethink of asset usage will be considered. This process may include regeneration, remodelling, change of tenure or use, and disposal. </w:t>
      </w:r>
    </w:p>
    <w:p w14:paraId="173AE8F6" w14:textId="2C72997C" w:rsidR="00980A09" w:rsidRDefault="00980A09" w:rsidP="00F55B78">
      <w:pPr>
        <w:spacing w:after="160" w:line="256" w:lineRule="auto"/>
        <w:ind w:left="720" w:right="707" w:hanging="720"/>
        <w:contextualSpacing/>
        <w:rPr>
          <w:rFonts w:cs="Arial"/>
          <w:i/>
          <w:iCs/>
          <w:lang w:eastAsia="en-GB"/>
        </w:rPr>
      </w:pPr>
      <w:r w:rsidRPr="00B762DD">
        <w:rPr>
          <w:rFonts w:cs="Arial"/>
          <w:i/>
          <w:iCs/>
        </w:rPr>
        <w:t>2.7</w:t>
      </w:r>
      <w:r w:rsidRPr="00B762DD">
        <w:rPr>
          <w:rFonts w:cs="Arial"/>
          <w:i/>
          <w:iCs/>
        </w:rPr>
        <w:tab/>
      </w:r>
      <w:r w:rsidRPr="00B762DD">
        <w:rPr>
          <w:rFonts w:cs="Arial"/>
          <w:i/>
          <w:iCs/>
          <w:lang w:eastAsia="en-GB"/>
        </w:rPr>
        <w:t>Provide safe and sound homes which meet the needs of current and future residents</w:t>
      </w:r>
    </w:p>
    <w:p w14:paraId="437702FD" w14:textId="47BA6EB0" w:rsidR="00980A09" w:rsidRDefault="00980A09" w:rsidP="00F55B78">
      <w:pPr>
        <w:spacing w:after="160" w:line="256" w:lineRule="auto"/>
        <w:ind w:left="720" w:right="707" w:hanging="720"/>
        <w:contextualSpacing/>
        <w:rPr>
          <w:rFonts w:cs="Arial"/>
          <w:i/>
          <w:iCs/>
          <w:lang w:eastAsia="en-GB"/>
        </w:rPr>
      </w:pPr>
    </w:p>
    <w:p w14:paraId="301E0503" w14:textId="7EA1DC34" w:rsidR="00980A09" w:rsidRDefault="00980A09" w:rsidP="00F55B78">
      <w:pPr>
        <w:ind w:left="720" w:hanging="720"/>
        <w:rPr>
          <w:rFonts w:cs="Arial"/>
        </w:rPr>
      </w:pPr>
      <w:r w:rsidRPr="00980A09">
        <w:rPr>
          <w:rFonts w:cs="Arial"/>
          <w:lang w:eastAsia="en-GB"/>
        </w:rPr>
        <w:t>2.8</w:t>
      </w:r>
      <w:r w:rsidRPr="00980A09">
        <w:rPr>
          <w:rFonts w:cs="Arial"/>
          <w:lang w:eastAsia="en-GB"/>
        </w:rPr>
        <w:tab/>
      </w:r>
      <w:r w:rsidRPr="00B762DD">
        <w:rPr>
          <w:rFonts w:cs="Arial"/>
        </w:rPr>
        <w:t>We will seek to adopt a comprehensive set of new best practice and regulatory standards as these come forward over the course of the AMS life cycle - including new consumer standards, new Decent Homes Standards, and new building and fire safety regulations. We want to be leading from the front in a changing environment.</w:t>
      </w:r>
    </w:p>
    <w:p w14:paraId="2289BB84" w14:textId="18EB7DEA" w:rsidR="000229AC" w:rsidRDefault="000229AC" w:rsidP="00F55B78">
      <w:pPr>
        <w:ind w:left="720" w:hanging="720"/>
        <w:rPr>
          <w:rFonts w:cs="Arial"/>
        </w:rPr>
      </w:pPr>
    </w:p>
    <w:p w14:paraId="1C20CD26" w14:textId="77777777" w:rsidR="000229AC" w:rsidRPr="000229AC" w:rsidRDefault="000229AC" w:rsidP="00F55B78">
      <w:pPr>
        <w:pStyle w:val="ListParagraph"/>
        <w:numPr>
          <w:ilvl w:val="0"/>
          <w:numId w:val="8"/>
        </w:numPr>
        <w:rPr>
          <w:vanish/>
        </w:rPr>
      </w:pPr>
    </w:p>
    <w:p w14:paraId="5585D504" w14:textId="6B3C35BF" w:rsidR="000229AC" w:rsidRDefault="00F55B78" w:rsidP="00F55B78">
      <w:pPr>
        <w:pStyle w:val="ListParagraph"/>
        <w:numPr>
          <w:ilvl w:val="1"/>
          <w:numId w:val="8"/>
        </w:numPr>
        <w:ind w:left="709" w:hanging="709"/>
      </w:pPr>
      <w:r>
        <w:t xml:space="preserve">A </w:t>
      </w:r>
      <w:r w:rsidR="000229AC">
        <w:t>3</w:t>
      </w:r>
      <w:r>
        <w:t>-</w:t>
      </w:r>
      <w:r w:rsidR="000229AC">
        <w:t xml:space="preserve">year capital programme </w:t>
      </w:r>
      <w:r>
        <w:t>will be developed and presented alongside the revised HRA Business Plan to be presented to Cabinet in February 2023. This will align to the themes identified in this Asset Management Strategy namely</w:t>
      </w:r>
      <w:r w:rsidR="000229AC">
        <w:t>:</w:t>
      </w:r>
    </w:p>
    <w:p w14:paraId="0A49E455" w14:textId="77777777" w:rsidR="000229AC" w:rsidRPr="00A21E68" w:rsidRDefault="000229AC" w:rsidP="00F55B78"/>
    <w:p w14:paraId="4FC9373E" w14:textId="77777777" w:rsidR="000229AC" w:rsidRPr="00C87BE4" w:rsidRDefault="000229AC" w:rsidP="00F55B78">
      <w:pPr>
        <w:numPr>
          <w:ilvl w:val="0"/>
          <w:numId w:val="3"/>
        </w:numPr>
        <w:tabs>
          <w:tab w:val="clear" w:pos="720"/>
          <w:tab w:val="num" w:pos="1080"/>
        </w:tabs>
        <w:ind w:left="1080"/>
        <w:rPr>
          <w:rFonts w:eastAsia="Calibri"/>
          <w:szCs w:val="24"/>
        </w:rPr>
      </w:pPr>
      <w:r w:rsidRPr="00C87BE4">
        <w:rPr>
          <w:rFonts w:eastAsia="Calibri"/>
          <w:szCs w:val="24"/>
        </w:rPr>
        <w:t>Essential works (Decent Homes, compliance)</w:t>
      </w:r>
    </w:p>
    <w:p w14:paraId="75591F5C" w14:textId="77777777" w:rsidR="000229AC" w:rsidRPr="00C87BE4" w:rsidRDefault="000229AC" w:rsidP="00F55B78">
      <w:pPr>
        <w:numPr>
          <w:ilvl w:val="0"/>
          <w:numId w:val="3"/>
        </w:numPr>
        <w:tabs>
          <w:tab w:val="clear" w:pos="720"/>
          <w:tab w:val="num" w:pos="1080"/>
        </w:tabs>
        <w:ind w:left="1080"/>
        <w:rPr>
          <w:rFonts w:eastAsia="Calibri"/>
          <w:szCs w:val="24"/>
        </w:rPr>
      </w:pPr>
      <w:r w:rsidRPr="00C87BE4">
        <w:rPr>
          <w:rFonts w:eastAsia="Calibri"/>
          <w:szCs w:val="24"/>
        </w:rPr>
        <w:t>Decarbonisation targets</w:t>
      </w:r>
    </w:p>
    <w:p w14:paraId="77150474" w14:textId="77777777" w:rsidR="000229AC" w:rsidRPr="00C87BE4" w:rsidRDefault="000229AC" w:rsidP="00F55B78">
      <w:pPr>
        <w:numPr>
          <w:ilvl w:val="0"/>
          <w:numId w:val="3"/>
        </w:numPr>
        <w:tabs>
          <w:tab w:val="clear" w:pos="720"/>
          <w:tab w:val="num" w:pos="1080"/>
        </w:tabs>
        <w:ind w:left="1080"/>
        <w:rPr>
          <w:rFonts w:eastAsia="Calibri"/>
          <w:szCs w:val="24"/>
        </w:rPr>
      </w:pPr>
      <w:r w:rsidRPr="00C87BE4">
        <w:rPr>
          <w:rFonts w:eastAsia="Calibri"/>
          <w:szCs w:val="24"/>
        </w:rPr>
        <w:t>Response to evolving standards, regulations</w:t>
      </w:r>
    </w:p>
    <w:p w14:paraId="7C58D60A" w14:textId="77777777" w:rsidR="000229AC" w:rsidRPr="00C87BE4" w:rsidRDefault="000229AC" w:rsidP="00F55B78">
      <w:pPr>
        <w:numPr>
          <w:ilvl w:val="0"/>
          <w:numId w:val="3"/>
        </w:numPr>
        <w:tabs>
          <w:tab w:val="clear" w:pos="720"/>
          <w:tab w:val="num" w:pos="1080"/>
        </w:tabs>
        <w:ind w:left="1080"/>
        <w:rPr>
          <w:rFonts w:eastAsia="Calibri"/>
          <w:szCs w:val="24"/>
        </w:rPr>
      </w:pPr>
      <w:r w:rsidRPr="00C87BE4">
        <w:rPr>
          <w:rFonts w:eastAsia="Calibri"/>
          <w:szCs w:val="24"/>
        </w:rPr>
        <w:t>Estate improvement / public realm</w:t>
      </w:r>
    </w:p>
    <w:p w14:paraId="7718403B" w14:textId="31D16B11" w:rsidR="000229AC" w:rsidRDefault="000229AC" w:rsidP="00F55B78">
      <w:pPr>
        <w:numPr>
          <w:ilvl w:val="0"/>
          <w:numId w:val="3"/>
        </w:numPr>
        <w:tabs>
          <w:tab w:val="clear" w:pos="720"/>
          <w:tab w:val="num" w:pos="1080"/>
        </w:tabs>
        <w:ind w:left="1080"/>
        <w:rPr>
          <w:rFonts w:eastAsia="Calibri"/>
          <w:szCs w:val="24"/>
        </w:rPr>
      </w:pPr>
      <w:r w:rsidRPr="00C87BE4">
        <w:rPr>
          <w:rFonts w:eastAsia="Calibri"/>
          <w:szCs w:val="24"/>
        </w:rPr>
        <w:t>Damp and thermal comfort</w:t>
      </w:r>
    </w:p>
    <w:p w14:paraId="4A052C10" w14:textId="43784731" w:rsidR="000229AC" w:rsidRDefault="000229AC" w:rsidP="00F55B78">
      <w:pPr>
        <w:rPr>
          <w:rFonts w:eastAsia="Calibri"/>
          <w:szCs w:val="24"/>
        </w:rPr>
      </w:pPr>
    </w:p>
    <w:p w14:paraId="784FF36C" w14:textId="3D163AFB" w:rsidR="000229AC" w:rsidRPr="00B762DD" w:rsidRDefault="000229AC" w:rsidP="00F55B78">
      <w:pPr>
        <w:pStyle w:val="ListParagraph"/>
        <w:numPr>
          <w:ilvl w:val="1"/>
          <w:numId w:val="8"/>
        </w:numPr>
        <w:rPr>
          <w:rFonts w:cs="Arial"/>
          <w:i/>
          <w:iCs/>
          <w:lang w:eastAsia="en-GB"/>
        </w:rPr>
      </w:pPr>
      <w:r w:rsidRPr="00B762DD">
        <w:rPr>
          <w:rFonts w:cs="Arial"/>
          <w:i/>
          <w:iCs/>
          <w:lang w:eastAsia="en-GB"/>
        </w:rPr>
        <w:t>Help minimise the environmental impact of housing</w:t>
      </w:r>
    </w:p>
    <w:p w14:paraId="46AB84E6" w14:textId="61F665FF" w:rsidR="000229AC" w:rsidRDefault="000229AC" w:rsidP="00F55B78">
      <w:pPr>
        <w:rPr>
          <w:rFonts w:eastAsia="Calibri" w:cs="Arial"/>
          <w:i/>
          <w:iCs/>
          <w:szCs w:val="24"/>
        </w:rPr>
      </w:pPr>
    </w:p>
    <w:p w14:paraId="5B8C0ED9" w14:textId="78C48A3B" w:rsidR="000229AC" w:rsidRPr="001C4B61" w:rsidRDefault="00282029" w:rsidP="00F55B78">
      <w:pPr>
        <w:pStyle w:val="ListParagraph"/>
        <w:numPr>
          <w:ilvl w:val="1"/>
          <w:numId w:val="8"/>
        </w:numPr>
        <w:ind w:left="720" w:hanging="720"/>
        <w:rPr>
          <w:rFonts w:cs="Arial"/>
        </w:rPr>
      </w:pPr>
      <w:r w:rsidRPr="007563D6">
        <w:rPr>
          <w:rStyle w:val="markedcontent"/>
          <w:rFonts w:cs="Arial"/>
        </w:rPr>
        <w:t>We have</w:t>
      </w:r>
      <w:r w:rsidR="004A0F16" w:rsidRPr="007563D6">
        <w:rPr>
          <w:rStyle w:val="markedcontent"/>
          <w:rFonts w:cs="Arial"/>
        </w:rPr>
        <w:t xml:space="preserve"> </w:t>
      </w:r>
      <w:r w:rsidR="000229AC" w:rsidRPr="007563D6">
        <w:rPr>
          <w:rStyle w:val="markedcontent"/>
          <w:rFonts w:cs="Arial"/>
        </w:rPr>
        <w:t xml:space="preserve">to ensure </w:t>
      </w:r>
      <w:r w:rsidR="00A8507B">
        <w:rPr>
          <w:rStyle w:val="markedcontent"/>
          <w:rFonts w:cs="Arial"/>
        </w:rPr>
        <w:t xml:space="preserve">that </w:t>
      </w:r>
      <w:r w:rsidR="000229AC" w:rsidRPr="007563D6">
        <w:rPr>
          <w:rStyle w:val="markedcontent"/>
          <w:rFonts w:cs="Arial"/>
        </w:rPr>
        <w:t xml:space="preserve">all of the homes we own </w:t>
      </w:r>
      <w:r w:rsidR="00A8507B">
        <w:rPr>
          <w:rStyle w:val="markedcontent"/>
          <w:rFonts w:cs="Arial"/>
        </w:rPr>
        <w:t>meet</w:t>
      </w:r>
      <w:r w:rsidR="000229AC" w:rsidRPr="007563D6">
        <w:rPr>
          <w:rStyle w:val="markedcontent"/>
          <w:rFonts w:cs="Arial"/>
        </w:rPr>
        <w:t xml:space="preserve"> a minimum EPC C rating by 2030 amongst our most fuel poor homes, and by 2035 for our remaining stock.  Since 2021 we have been working closely with the London Council’s group and decarbonisation specialists in the housing sector to develop the London Council’s Retrofit London Action Plan as part of our efforts to tackle climate change and achieve a carbon neutral status across our stock by 2030. </w:t>
      </w:r>
      <w:r w:rsidR="000229AC" w:rsidRPr="007563D6">
        <w:rPr>
          <w:rFonts w:cs="Arial"/>
        </w:rPr>
        <w:t xml:space="preserve">The London Councils </w:t>
      </w:r>
      <w:r w:rsidR="000229AC" w:rsidRPr="007563D6">
        <w:rPr>
          <w:rStyle w:val="markedcontent"/>
          <w:rFonts w:cs="Arial"/>
        </w:rPr>
        <w:t>Retrofit London Action Plan</w:t>
      </w:r>
      <w:r w:rsidR="000229AC" w:rsidRPr="007563D6">
        <w:rPr>
          <w:rFonts w:cs="Arial"/>
        </w:rPr>
        <w:t xml:space="preserve"> identifies two pathways to work towards achieving Net Zero, the Interim Targets Pathway and the Net Zero pathway.   </w:t>
      </w:r>
    </w:p>
    <w:p w14:paraId="53A095B6" w14:textId="689D9B20" w:rsidR="000229AC" w:rsidRPr="00CD23B4" w:rsidRDefault="000229AC" w:rsidP="00F55B78">
      <w:pPr>
        <w:rPr>
          <w:rFonts w:eastAsia="Calibri" w:cs="Arial"/>
          <w:szCs w:val="24"/>
        </w:rPr>
      </w:pPr>
    </w:p>
    <w:p w14:paraId="23ADA2E1" w14:textId="77777777" w:rsidR="004A0F16" w:rsidRPr="007563D6" w:rsidRDefault="004A0F16" w:rsidP="00F55B78">
      <w:pPr>
        <w:ind w:left="720" w:hanging="720"/>
        <w:rPr>
          <w:rStyle w:val="markedcontent"/>
          <w:rFonts w:cs="Arial"/>
          <w:sz w:val="22"/>
        </w:rPr>
      </w:pPr>
      <w:r w:rsidRPr="00CD23B4">
        <w:rPr>
          <w:rFonts w:eastAsia="Calibri" w:cs="Arial"/>
          <w:szCs w:val="24"/>
        </w:rPr>
        <w:t>2.1</w:t>
      </w:r>
      <w:r w:rsidRPr="007563D6">
        <w:rPr>
          <w:rFonts w:eastAsia="Calibri" w:cs="Arial"/>
          <w:szCs w:val="24"/>
        </w:rPr>
        <w:t>2</w:t>
      </w:r>
      <w:r w:rsidRPr="007563D6">
        <w:rPr>
          <w:rFonts w:eastAsia="Calibri" w:cs="Arial"/>
          <w:szCs w:val="24"/>
        </w:rPr>
        <w:tab/>
      </w:r>
      <w:r w:rsidRPr="007563D6">
        <w:rPr>
          <w:rStyle w:val="markedcontent"/>
          <w:rFonts w:cs="Arial"/>
        </w:rPr>
        <w:t>Our first targeted approach to help meet our net zero targets will commence via a pilot study that will help low-income families retrofit their homes via the Green Homes Grant Local Authority Delivery Scheme. The scheme targets homes with a poor energy rating that are occupied by households on low incomes. Around 130 properties are anticipated to be retrofitted in the borough with fabric improvement measures but also testing low carbon energy systems. Works are due to commence in the Autumn of 2022 and will represent the first dedicated programme of retrofit for decarbonisation.</w:t>
      </w:r>
    </w:p>
    <w:p w14:paraId="1D0D9946" w14:textId="77777777" w:rsidR="004A0F16" w:rsidRPr="007563D6" w:rsidRDefault="004A0F16" w:rsidP="00F55B78">
      <w:pPr>
        <w:rPr>
          <w:rStyle w:val="markedcontent"/>
          <w:rFonts w:cs="Arial"/>
        </w:rPr>
      </w:pPr>
    </w:p>
    <w:p w14:paraId="574E4E5B" w14:textId="097D7CA1" w:rsidR="004A0F16" w:rsidRPr="007563D6" w:rsidRDefault="004A0F16" w:rsidP="00F55B78">
      <w:pPr>
        <w:ind w:left="720" w:hanging="720"/>
        <w:rPr>
          <w:rStyle w:val="markedcontent"/>
          <w:rFonts w:cs="Arial"/>
        </w:rPr>
      </w:pPr>
      <w:r w:rsidRPr="007563D6">
        <w:rPr>
          <w:rStyle w:val="markedcontent"/>
          <w:rFonts w:cs="Arial"/>
        </w:rPr>
        <w:t>2.13</w:t>
      </w:r>
      <w:r w:rsidRPr="007563D6">
        <w:rPr>
          <w:rStyle w:val="markedcontent"/>
          <w:rFonts w:cs="Arial"/>
        </w:rPr>
        <w:tab/>
        <w:t>Finally, following recent retrofit surveys, we have small batches of homes which are ready for us to implement measures beyond fabric first. We will look to programme these works in within this strategic period.  Data from these “front running” homes will be analysed for lessons learnt and applied to our remaining stock.</w:t>
      </w:r>
      <w:r w:rsidRPr="007563D6">
        <w:rPr>
          <w:rFonts w:cs="Arial"/>
        </w:rPr>
        <w:t xml:space="preserve"> We will also be </w:t>
      </w:r>
      <w:r w:rsidRPr="007563D6">
        <w:rPr>
          <w:rFonts w:cs="Arial"/>
        </w:rPr>
        <w:lastRenderedPageBreak/>
        <w:t>ensuring that we target relevant grant funding when this becomes available.</w:t>
      </w:r>
    </w:p>
    <w:p w14:paraId="27708A3D" w14:textId="7220D0DF" w:rsidR="004A0F16" w:rsidRPr="00B762DD" w:rsidRDefault="004A0F16" w:rsidP="00F55B78">
      <w:pPr>
        <w:rPr>
          <w:rFonts w:ascii="TT Hoves" w:hAnsi="TT Hoves"/>
          <w:color w:val="8064A2" w:themeColor="accent4"/>
          <w:sz w:val="22"/>
        </w:rPr>
      </w:pPr>
      <w:r>
        <w:rPr>
          <w:rFonts w:eastAsia="Calibri"/>
          <w:szCs w:val="24"/>
        </w:rPr>
        <w:tab/>
      </w:r>
      <w:r>
        <w:rPr>
          <w:rFonts w:ascii="TT Hoves" w:hAnsi="TT Hoves"/>
          <w:i/>
          <w:iCs/>
          <w:color w:val="8064A2" w:themeColor="accent4"/>
        </w:rPr>
        <w:t xml:space="preserve"> </w:t>
      </w:r>
    </w:p>
    <w:p w14:paraId="0154FA16" w14:textId="31CF83AB" w:rsidR="004A0F16" w:rsidRDefault="00600F78" w:rsidP="00F55B78">
      <w:pPr>
        <w:rPr>
          <w:rFonts w:eastAsia="Calibri"/>
          <w:szCs w:val="24"/>
        </w:rPr>
      </w:pPr>
      <w:r>
        <w:rPr>
          <w:rFonts w:eastAsia="Calibri"/>
          <w:szCs w:val="24"/>
        </w:rPr>
        <w:t>2.14</w:t>
      </w:r>
      <w:r>
        <w:rPr>
          <w:rFonts w:eastAsia="Calibri"/>
          <w:szCs w:val="24"/>
        </w:rPr>
        <w:tab/>
      </w:r>
      <w:r w:rsidRPr="00B762DD">
        <w:rPr>
          <w:rFonts w:eastAsia="Calibri"/>
          <w:i/>
          <w:iCs/>
          <w:szCs w:val="24"/>
        </w:rPr>
        <w:t>Managing our assets more efficiently</w:t>
      </w:r>
    </w:p>
    <w:p w14:paraId="5330D47D" w14:textId="00FB17EF" w:rsidR="00600F78" w:rsidRDefault="00600F78" w:rsidP="00F55B78">
      <w:pPr>
        <w:rPr>
          <w:rFonts w:eastAsia="Calibri"/>
          <w:szCs w:val="24"/>
        </w:rPr>
      </w:pPr>
    </w:p>
    <w:p w14:paraId="78CA16FD" w14:textId="55A2FAC7" w:rsidR="00730E01" w:rsidRDefault="00600F78" w:rsidP="00F55B78">
      <w:pPr>
        <w:ind w:left="720" w:hanging="720"/>
        <w:rPr>
          <w:rFonts w:cs="Arial"/>
          <w:color w:val="4F81BD" w:themeColor="accent1"/>
        </w:rPr>
      </w:pPr>
      <w:r>
        <w:rPr>
          <w:rFonts w:eastAsia="Calibri"/>
          <w:szCs w:val="24"/>
        </w:rPr>
        <w:t>2.15</w:t>
      </w:r>
      <w:r>
        <w:rPr>
          <w:rFonts w:eastAsia="Calibri"/>
          <w:szCs w:val="24"/>
        </w:rPr>
        <w:tab/>
      </w:r>
      <w:r w:rsidRPr="007563D6">
        <w:rPr>
          <w:rFonts w:cs="Arial"/>
          <w:color w:val="000000" w:themeColor="text1"/>
        </w:rPr>
        <w:t>We will aim for a ‘golden ratio’ of service spend of at least 60% planned and preventative activities and 40% responsive activities, and that the direction of travel maintains a trajectory towards decreasing instances and the cost of responsive repairs</w:t>
      </w:r>
      <w:r w:rsidRPr="00B762DD">
        <w:rPr>
          <w:rFonts w:cs="Arial"/>
          <w:color w:val="4F81BD" w:themeColor="accent1"/>
        </w:rPr>
        <w:t xml:space="preserve">.   </w:t>
      </w:r>
      <w:r w:rsidR="00730E01" w:rsidRPr="00B762DD">
        <w:rPr>
          <w:rFonts w:cs="Arial"/>
        </w:rPr>
        <w:t xml:space="preserve">This will be achieved by delivering a comprehensive </w:t>
      </w:r>
      <w:r w:rsidR="00F713F1">
        <w:rPr>
          <w:rFonts w:cs="Arial"/>
        </w:rPr>
        <w:t xml:space="preserve">Capital Investment </w:t>
      </w:r>
      <w:r w:rsidR="00730E01" w:rsidRPr="00B762DD">
        <w:rPr>
          <w:rFonts w:cs="Arial"/>
        </w:rPr>
        <w:t>Programme and a new Planned Preventative Maintenance Programme</w:t>
      </w:r>
      <w:r w:rsidR="00730E01">
        <w:rPr>
          <w:rFonts w:ascii="TT Hoves" w:hAnsi="TT Hoves"/>
        </w:rPr>
        <w:t>.</w:t>
      </w:r>
    </w:p>
    <w:p w14:paraId="0248D3E9" w14:textId="7BE0E8B5" w:rsidR="00730E01" w:rsidRDefault="00730E01" w:rsidP="00F55B78">
      <w:pPr>
        <w:ind w:left="720" w:hanging="720"/>
        <w:rPr>
          <w:rFonts w:ascii="TT Hoves" w:hAnsi="TT Hoves"/>
          <w:sz w:val="22"/>
          <w:szCs w:val="22"/>
          <w:highlight w:val="yellow"/>
        </w:rPr>
      </w:pPr>
    </w:p>
    <w:p w14:paraId="3812C7A9" w14:textId="6BAA0085" w:rsidR="00F713F1" w:rsidRPr="00B762DD" w:rsidRDefault="00F713F1" w:rsidP="00F55B78">
      <w:pPr>
        <w:ind w:left="720" w:hanging="720"/>
        <w:rPr>
          <w:rFonts w:cs="Arial"/>
        </w:rPr>
      </w:pPr>
      <w:r w:rsidRPr="007563D6">
        <w:rPr>
          <w:rFonts w:cs="Arial"/>
          <w:color w:val="000000" w:themeColor="text1"/>
          <w:szCs w:val="24"/>
        </w:rPr>
        <w:t>2.16</w:t>
      </w:r>
      <w:r w:rsidRPr="00B762DD">
        <w:rPr>
          <w:rFonts w:cs="Arial"/>
          <w:color w:val="4F81BD" w:themeColor="accent1"/>
          <w:szCs w:val="24"/>
        </w:rPr>
        <w:tab/>
      </w:r>
      <w:r w:rsidRPr="00B762DD">
        <w:rPr>
          <w:rFonts w:cs="Arial"/>
        </w:rPr>
        <w:t>We have developed a new three-year Planned Maintenance Programme which incorporates all essential works (e.g. Decent Homes Standards, compliance and Mechanical and Electrical priorities), aids and adaptions related works and an allowance for achieving Net Zero decarbonisation targets</w:t>
      </w:r>
      <w:r>
        <w:rPr>
          <w:rFonts w:cs="Arial"/>
        </w:rPr>
        <w:t xml:space="preserve">. </w:t>
      </w:r>
      <w:r w:rsidRPr="00B762DD">
        <w:rPr>
          <w:rFonts w:cs="Arial"/>
        </w:rPr>
        <w:t xml:space="preserve"> The programme is fully funded in the Council’s current Business Plan for the next three-years, and there is a secondary, indicative, programme covering years 4 - 5. This plan was produced by a combination of asset appraisals, including:</w:t>
      </w:r>
    </w:p>
    <w:p w14:paraId="2B42BDD0" w14:textId="77777777" w:rsidR="00F713F1" w:rsidRPr="00B762DD" w:rsidRDefault="00F713F1" w:rsidP="00F55B78">
      <w:pPr>
        <w:ind w:left="720" w:hanging="720"/>
        <w:rPr>
          <w:rFonts w:cs="Arial"/>
          <w:sz w:val="22"/>
        </w:rPr>
      </w:pPr>
    </w:p>
    <w:p w14:paraId="438268E0" w14:textId="77777777" w:rsidR="00F713F1" w:rsidRPr="00B762DD" w:rsidRDefault="00F713F1" w:rsidP="00F55B78">
      <w:pPr>
        <w:pStyle w:val="ListParagraph"/>
        <w:numPr>
          <w:ilvl w:val="0"/>
          <w:numId w:val="9"/>
        </w:numPr>
        <w:spacing w:after="160" w:line="256" w:lineRule="auto"/>
        <w:contextualSpacing/>
        <w:rPr>
          <w:rFonts w:eastAsiaTheme="minorEastAsia" w:cs="Arial"/>
        </w:rPr>
      </w:pPr>
      <w:r w:rsidRPr="00B762DD">
        <w:rPr>
          <w:rFonts w:eastAsia="TT Hoves" w:cs="Arial"/>
        </w:rPr>
        <w:t>Stock Condition Surveys carried out in collaboration with external consultants.</w:t>
      </w:r>
    </w:p>
    <w:p w14:paraId="7CFE21FA" w14:textId="77777777" w:rsidR="00F713F1" w:rsidRPr="004B2C7C" w:rsidRDefault="00F713F1" w:rsidP="00F55B78">
      <w:pPr>
        <w:pStyle w:val="ListParagraph"/>
        <w:numPr>
          <w:ilvl w:val="0"/>
          <w:numId w:val="9"/>
        </w:numPr>
        <w:spacing w:after="160" w:line="256" w:lineRule="auto"/>
        <w:contextualSpacing/>
        <w:rPr>
          <w:rFonts w:eastAsia="TT Hoves" w:cs="Arial"/>
        </w:rPr>
      </w:pPr>
      <w:r w:rsidRPr="004B2C7C">
        <w:rPr>
          <w:rFonts w:eastAsia="TT Hoves" w:cs="Arial"/>
        </w:rPr>
        <w:t xml:space="preserve">High-level SHAPE modelling. </w:t>
      </w:r>
    </w:p>
    <w:p w14:paraId="3C6A7466" w14:textId="77777777" w:rsidR="00F713F1" w:rsidRDefault="00F713F1" w:rsidP="00F55B78">
      <w:pPr>
        <w:pStyle w:val="ListParagraph"/>
        <w:numPr>
          <w:ilvl w:val="0"/>
          <w:numId w:val="9"/>
        </w:numPr>
        <w:spacing w:after="160" w:line="256" w:lineRule="auto"/>
        <w:contextualSpacing/>
        <w:rPr>
          <w:rFonts w:ascii="TT Hoves" w:eastAsiaTheme="minorEastAsia" w:hAnsi="TT Hoves"/>
        </w:rPr>
      </w:pPr>
      <w:r w:rsidRPr="004B2C7C">
        <w:rPr>
          <w:rFonts w:eastAsia="TT Hoves" w:cs="Arial"/>
        </w:rPr>
        <w:t>Internal planning review, validation, and quality assurance</w:t>
      </w:r>
      <w:r>
        <w:rPr>
          <w:rFonts w:ascii="TT Hoves" w:eastAsia="TT Hoves" w:hAnsi="TT Hoves" w:cs="TT Hoves"/>
        </w:rPr>
        <w:t>.</w:t>
      </w:r>
    </w:p>
    <w:p w14:paraId="5B003B34" w14:textId="77777777" w:rsidR="00F713F1" w:rsidRDefault="00F713F1" w:rsidP="00F55B78">
      <w:pPr>
        <w:rPr>
          <w:rFonts w:ascii="TT Hoves" w:eastAsiaTheme="minorHAnsi" w:hAnsi="TT Hoves"/>
        </w:rPr>
      </w:pPr>
    </w:p>
    <w:p w14:paraId="32EC250A" w14:textId="28A027B3" w:rsidR="00F713F1" w:rsidRDefault="00F713F1" w:rsidP="00F55B78">
      <w:pPr>
        <w:rPr>
          <w:rFonts w:ascii="TT Hoves" w:hAnsi="TT Hoves"/>
        </w:rPr>
      </w:pPr>
      <w:r>
        <w:rPr>
          <w:noProof/>
        </w:rPr>
        <w:drawing>
          <wp:inline distT="0" distB="0" distL="0" distR="0" wp14:anchorId="50D28A5C" wp14:editId="7055DA2F">
            <wp:extent cx="5276215" cy="1028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580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215" cy="1028700"/>
                    </a:xfrm>
                    <a:prstGeom prst="rect">
                      <a:avLst/>
                    </a:prstGeom>
                    <a:noFill/>
                    <a:ln>
                      <a:noFill/>
                    </a:ln>
                  </pic:spPr>
                </pic:pic>
              </a:graphicData>
            </a:graphic>
          </wp:inline>
        </w:drawing>
      </w:r>
    </w:p>
    <w:p w14:paraId="50A6B57B" w14:textId="2855C0BC" w:rsidR="00730E01" w:rsidRDefault="00730E01" w:rsidP="00F55B78">
      <w:pPr>
        <w:ind w:left="720" w:hanging="720"/>
        <w:rPr>
          <w:rFonts w:cs="Arial"/>
          <w:color w:val="4F81BD" w:themeColor="accent1"/>
          <w:sz w:val="22"/>
        </w:rPr>
      </w:pPr>
    </w:p>
    <w:p w14:paraId="3BD1D303" w14:textId="48781ED6" w:rsidR="00600F78" w:rsidRDefault="00600F78" w:rsidP="00F55B78">
      <w:pPr>
        <w:rPr>
          <w:rFonts w:eastAsia="Calibri"/>
          <w:szCs w:val="24"/>
        </w:rPr>
      </w:pPr>
    </w:p>
    <w:p w14:paraId="0BA71C1C" w14:textId="09C91F1D" w:rsidR="0023199F" w:rsidRPr="00B762DD" w:rsidRDefault="0023199F" w:rsidP="00F55B78">
      <w:pPr>
        <w:pStyle w:val="ListParagraph"/>
        <w:numPr>
          <w:ilvl w:val="1"/>
          <w:numId w:val="10"/>
        </w:numPr>
        <w:ind w:left="709" w:hanging="709"/>
        <w:contextualSpacing/>
        <w:rPr>
          <w:rFonts w:cs="Arial"/>
          <w:i/>
          <w:iCs/>
          <w:sz w:val="22"/>
          <w:lang w:eastAsia="en-GB"/>
        </w:rPr>
      </w:pPr>
      <w:r w:rsidRPr="00B762DD">
        <w:rPr>
          <w:rFonts w:cs="Arial"/>
          <w:i/>
          <w:iCs/>
          <w:lang w:eastAsia="en-GB"/>
        </w:rPr>
        <w:t xml:space="preserve">Engage with residents and communities, maximising the customer  </w:t>
      </w:r>
      <w:r w:rsidR="005923C2">
        <w:rPr>
          <w:rFonts w:cs="Arial"/>
          <w:i/>
          <w:iCs/>
          <w:lang w:eastAsia="en-GB"/>
        </w:rPr>
        <w:t xml:space="preserve"> </w:t>
      </w:r>
      <w:r w:rsidRPr="00B762DD">
        <w:rPr>
          <w:rFonts w:cs="Arial"/>
          <w:i/>
          <w:iCs/>
          <w:lang w:eastAsia="en-GB"/>
        </w:rPr>
        <w:t>experience.</w:t>
      </w:r>
    </w:p>
    <w:p w14:paraId="59F6A85B" w14:textId="583C5278" w:rsidR="000229AC" w:rsidRDefault="000229AC" w:rsidP="00F55B78">
      <w:pPr>
        <w:rPr>
          <w:rFonts w:eastAsia="Calibri"/>
          <w:szCs w:val="24"/>
        </w:rPr>
      </w:pPr>
    </w:p>
    <w:p w14:paraId="26F52F16" w14:textId="672652B4" w:rsidR="007E56A6" w:rsidRPr="00B762DD" w:rsidRDefault="008D3B4C" w:rsidP="00F55B78">
      <w:pPr>
        <w:ind w:left="720" w:hanging="720"/>
        <w:rPr>
          <w:rFonts w:eastAsia="TT Hoves" w:cs="Arial"/>
        </w:rPr>
      </w:pPr>
      <w:r>
        <w:rPr>
          <w:rFonts w:ascii="TT Hoves" w:hAnsi="TT Hoves" w:cs="Arial"/>
        </w:rPr>
        <w:t>2.18</w:t>
      </w:r>
      <w:r>
        <w:rPr>
          <w:rFonts w:ascii="TT Hoves" w:hAnsi="TT Hoves" w:cs="Arial"/>
        </w:rPr>
        <w:tab/>
      </w:r>
      <w:r w:rsidR="007E56A6" w:rsidRPr="00B762DD">
        <w:rPr>
          <w:rFonts w:cs="Arial"/>
        </w:rPr>
        <w:t>Our</w:t>
      </w:r>
      <w:r>
        <w:rPr>
          <w:rFonts w:cs="Arial"/>
        </w:rPr>
        <w:t xml:space="preserve"> </w:t>
      </w:r>
      <w:r w:rsidR="007E56A6" w:rsidRPr="00B762DD">
        <w:rPr>
          <w:rFonts w:cs="Arial"/>
        </w:rPr>
        <w:t>Resident Engagement Strategy 2021-24, the</w:t>
      </w:r>
      <w:r w:rsidR="007E56A6" w:rsidRPr="00B762DD">
        <w:rPr>
          <w:rFonts w:eastAsia="TT Hoves" w:cs="Arial"/>
        </w:rPr>
        <w:t xml:space="preserve"> ambition for the borough is for </w:t>
      </w:r>
      <w:r w:rsidR="007E56A6" w:rsidRPr="00B762DD">
        <w:rPr>
          <w:rFonts w:eastAsia="TT Hoves" w:cs="Arial"/>
          <w:i/>
          <w:iCs/>
        </w:rPr>
        <w:t xml:space="preserve">“great customer experiences and community outcomes”. </w:t>
      </w:r>
      <w:r w:rsidR="007E56A6" w:rsidRPr="00B762DD">
        <w:rPr>
          <w:rFonts w:eastAsia="TT Hoves" w:cs="Arial"/>
        </w:rPr>
        <w:t>It is important that we layer in the customer experience throughout the delivery of this strategy and that engagement and consultation are not dealt with as a separate, discreet actions.</w:t>
      </w:r>
    </w:p>
    <w:p w14:paraId="271C347D" w14:textId="77777777" w:rsidR="007E56A6" w:rsidRDefault="007E56A6" w:rsidP="00F55B78">
      <w:pPr>
        <w:ind w:left="720" w:hanging="720"/>
        <w:rPr>
          <w:rFonts w:ascii="TT Hoves" w:eastAsia="TT Hoves" w:hAnsi="TT Hoves" w:cs="TT Hoves"/>
          <w:i/>
          <w:iCs/>
          <w:sz w:val="22"/>
        </w:rPr>
      </w:pPr>
    </w:p>
    <w:p w14:paraId="00165C8E" w14:textId="0BC2141D" w:rsidR="007E56A6" w:rsidRPr="00B762DD" w:rsidRDefault="008D3B4C" w:rsidP="00F55B78">
      <w:pPr>
        <w:ind w:left="851" w:hanging="720"/>
        <w:rPr>
          <w:rFonts w:eastAsia="TT Hoves" w:cs="Arial"/>
          <w:szCs w:val="24"/>
        </w:rPr>
      </w:pPr>
      <w:r w:rsidRPr="008D3B4C">
        <w:rPr>
          <w:rFonts w:eastAsia="TT Hoves" w:cs="Arial"/>
          <w:i/>
          <w:iCs/>
          <w:szCs w:val="24"/>
        </w:rPr>
        <w:t>2.19</w:t>
      </w:r>
      <w:r w:rsidR="007E56A6" w:rsidRPr="008D3B4C">
        <w:rPr>
          <w:rFonts w:eastAsia="TT Hoves" w:cs="Arial"/>
          <w:i/>
          <w:iCs/>
          <w:szCs w:val="24"/>
        </w:rPr>
        <w:t xml:space="preserve">     </w:t>
      </w:r>
      <w:r w:rsidR="007E56A6" w:rsidRPr="00B762DD">
        <w:rPr>
          <w:rFonts w:eastAsia="TT Hoves" w:cs="Arial"/>
          <w:szCs w:val="24"/>
        </w:rPr>
        <w:t>The concept of ‘Active Asset Management’ is core to this updated AMS and will allow a direct link between customer feedback and investment decisions. This aligns to the objectives of the Resident Engagement Strategy which is for Harrow residents to enjoy living in their home and their neighbourhood and for:</w:t>
      </w:r>
    </w:p>
    <w:p w14:paraId="74E96F73" w14:textId="77777777" w:rsidR="007E56A6" w:rsidRPr="00B762DD" w:rsidRDefault="007E56A6" w:rsidP="00F55B78">
      <w:pPr>
        <w:ind w:left="851" w:hanging="720"/>
        <w:rPr>
          <w:rFonts w:eastAsia="TT Hoves" w:cs="Arial"/>
          <w:szCs w:val="24"/>
        </w:rPr>
      </w:pPr>
    </w:p>
    <w:p w14:paraId="3A659400" w14:textId="77777777" w:rsidR="007E56A6" w:rsidRPr="00222F9F" w:rsidRDefault="007E56A6" w:rsidP="00F55B78">
      <w:pPr>
        <w:pStyle w:val="ListParagraph"/>
        <w:numPr>
          <w:ilvl w:val="0"/>
          <w:numId w:val="5"/>
        </w:numPr>
        <w:ind w:left="1276"/>
        <w:contextualSpacing/>
        <w:rPr>
          <w:rFonts w:cs="Arial"/>
          <w:szCs w:val="24"/>
          <w:lang w:eastAsia="en-GB"/>
        </w:rPr>
      </w:pPr>
      <w:r w:rsidRPr="00222F9F">
        <w:rPr>
          <w:rFonts w:cs="Arial"/>
          <w:szCs w:val="24"/>
          <w:lang w:eastAsia="en-GB"/>
        </w:rPr>
        <w:t>Opportunities to have a role in evaluating and improving housing services.</w:t>
      </w:r>
    </w:p>
    <w:p w14:paraId="65EBA9FA" w14:textId="77777777" w:rsidR="007E56A6" w:rsidRPr="00222F9F" w:rsidRDefault="007E56A6" w:rsidP="00F55B78">
      <w:pPr>
        <w:pStyle w:val="ListParagraph"/>
        <w:numPr>
          <w:ilvl w:val="0"/>
          <w:numId w:val="5"/>
        </w:numPr>
        <w:ind w:left="1276"/>
        <w:contextualSpacing/>
        <w:rPr>
          <w:rFonts w:cs="Arial"/>
          <w:szCs w:val="24"/>
          <w:lang w:eastAsia="en-GB"/>
        </w:rPr>
      </w:pPr>
      <w:r w:rsidRPr="00222F9F">
        <w:rPr>
          <w:rFonts w:cs="Arial"/>
          <w:szCs w:val="24"/>
          <w:lang w:eastAsia="en-GB"/>
        </w:rPr>
        <w:lastRenderedPageBreak/>
        <w:t>Communities encouraged to get involved in improving their neighbourhood.</w:t>
      </w:r>
    </w:p>
    <w:p w14:paraId="1CE4BDD4" w14:textId="77777777" w:rsidR="007E56A6" w:rsidRPr="00222F9F" w:rsidRDefault="007E56A6" w:rsidP="00F55B78">
      <w:pPr>
        <w:pStyle w:val="ListParagraph"/>
        <w:numPr>
          <w:ilvl w:val="0"/>
          <w:numId w:val="5"/>
        </w:numPr>
        <w:ind w:left="1276"/>
        <w:contextualSpacing/>
        <w:rPr>
          <w:rFonts w:cs="Arial"/>
          <w:szCs w:val="24"/>
          <w:lang w:eastAsia="en-GB"/>
        </w:rPr>
      </w:pPr>
      <w:r w:rsidRPr="00222F9F">
        <w:rPr>
          <w:rFonts w:cs="Arial"/>
          <w:szCs w:val="24"/>
          <w:lang w:eastAsia="en-GB"/>
        </w:rPr>
        <w:t>Council staff to listen, follow up, and feedback.</w:t>
      </w:r>
    </w:p>
    <w:p w14:paraId="52CBBC0F" w14:textId="77777777" w:rsidR="007E56A6" w:rsidRPr="00C87BE4" w:rsidRDefault="007E56A6" w:rsidP="00F55B78">
      <w:pPr>
        <w:rPr>
          <w:rFonts w:eastAsia="Calibri"/>
          <w:szCs w:val="24"/>
        </w:rPr>
      </w:pPr>
    </w:p>
    <w:p w14:paraId="2AD179DB" w14:textId="1214B585" w:rsidR="000273D8" w:rsidRDefault="008D3B4C">
      <w:pPr>
        <w:spacing w:after="120"/>
        <w:ind w:left="720" w:hanging="720"/>
      </w:pPr>
      <w:r>
        <w:rPr>
          <w:b/>
          <w:bCs/>
        </w:rPr>
        <w:t>3.0</w:t>
      </w:r>
      <w:r>
        <w:rPr>
          <w:b/>
          <w:bCs/>
        </w:rPr>
        <w:tab/>
      </w:r>
      <w:r w:rsidR="00E55E97">
        <w:rPr>
          <w:b/>
          <w:bCs/>
        </w:rPr>
        <w:t>Measuring Performance</w:t>
      </w:r>
      <w:r w:rsidR="00F50A12">
        <w:t xml:space="preserve"> – include relevant </w:t>
      </w:r>
      <w:r w:rsidR="000273D8">
        <w:t>K</w:t>
      </w:r>
      <w:r w:rsidR="00F50A12">
        <w:t>PI’s and performance against them</w:t>
      </w:r>
    </w:p>
    <w:p w14:paraId="637C63A3" w14:textId="4C300532" w:rsidR="005859B8" w:rsidRDefault="00406BA0">
      <w:pPr>
        <w:spacing w:after="120"/>
        <w:ind w:left="720" w:hanging="720"/>
      </w:pPr>
      <w:r>
        <w:t>3.1</w:t>
      </w:r>
      <w:r>
        <w:tab/>
      </w:r>
      <w:r w:rsidR="00B73434">
        <w:t>KP</w:t>
      </w:r>
      <w:r w:rsidR="00F57856">
        <w:t xml:space="preserve">I’s will largely be based </w:t>
      </w:r>
      <w:r w:rsidR="000275FC">
        <w:t>on</w:t>
      </w:r>
      <w:r w:rsidR="00F57856">
        <w:t xml:space="preserve"> achieving </w:t>
      </w:r>
      <w:r w:rsidR="002A5008">
        <w:t>60/40 split between planned and reactive maintenance.</w:t>
      </w:r>
      <w:r w:rsidR="00F71DB5">
        <w:t xml:space="preserve"> This </w:t>
      </w:r>
      <w:r w:rsidR="008C67F1">
        <w:t xml:space="preserve">will be </w:t>
      </w:r>
      <w:r w:rsidR="00C40F54">
        <w:t>measured</w:t>
      </w:r>
      <w:r w:rsidR="008C67F1">
        <w:t xml:space="preserve"> by monitoring future </w:t>
      </w:r>
      <w:r w:rsidR="003A40AC">
        <w:t>costs across the HRA in terms of revenue and capital expenditure.</w:t>
      </w:r>
      <w:r w:rsidR="000275FC">
        <w:t xml:space="preserve"> </w:t>
      </w:r>
    </w:p>
    <w:p w14:paraId="30A7A54B" w14:textId="0715FA85" w:rsidR="005859B8" w:rsidRDefault="005859B8" w:rsidP="004B2C7C">
      <w:pPr>
        <w:spacing w:after="120"/>
        <w:ind w:left="720" w:hanging="720"/>
      </w:pPr>
      <w:r>
        <w:t xml:space="preserve">3.2 </w:t>
      </w:r>
      <w:r>
        <w:tab/>
        <w:t>Levels of Decency</w:t>
      </w:r>
      <w:r w:rsidR="0073425F">
        <w:t xml:space="preserve"> </w:t>
      </w:r>
      <w:r w:rsidR="00E521FA">
        <w:t>–</w:t>
      </w:r>
      <w:r w:rsidR="0073425F">
        <w:t xml:space="preserve"> </w:t>
      </w:r>
      <w:r w:rsidR="00E521FA">
        <w:t xml:space="preserve">Reporting through the new regulatory environment </w:t>
      </w:r>
      <w:r w:rsidR="00237C1B">
        <w:t xml:space="preserve">and </w:t>
      </w:r>
      <w:r w:rsidR="00E521FA">
        <w:t>benchmark ourselves against other authorities</w:t>
      </w:r>
      <w:r w:rsidR="00237C1B">
        <w:t>. Reporting of decent homes takes place on an annual basis</w:t>
      </w:r>
      <w:r w:rsidR="00E521FA">
        <w:t xml:space="preserve"> </w:t>
      </w:r>
      <w:r w:rsidR="00835E74">
        <w:t>to the LAHS (</w:t>
      </w:r>
      <w:r w:rsidR="00466934">
        <w:t>Lo</w:t>
      </w:r>
      <w:r w:rsidR="007A6364">
        <w:t>ndon</w:t>
      </w:r>
      <w:r w:rsidR="00466934">
        <w:t xml:space="preserve"> Authority Housing</w:t>
      </w:r>
      <w:r w:rsidR="007A6364">
        <w:t xml:space="preserve"> Statistics)</w:t>
      </w:r>
      <w:r w:rsidR="000275FC">
        <w:t>. Current performance against this measure stands at 12% across the stock.</w:t>
      </w:r>
    </w:p>
    <w:p w14:paraId="1CADA9A0" w14:textId="71387031" w:rsidR="005859B8" w:rsidRDefault="005859B8" w:rsidP="005859B8">
      <w:pPr>
        <w:spacing w:after="120"/>
        <w:ind w:left="720" w:hanging="720"/>
      </w:pPr>
      <w:r>
        <w:t>3.3</w:t>
      </w:r>
      <w:r>
        <w:tab/>
        <w:t>Decarbonisation targets. Achieve higher ratings for EPC’s across our stock.</w:t>
      </w:r>
      <w:r w:rsidR="00DB37B4">
        <w:t xml:space="preserve"> The </w:t>
      </w:r>
      <w:r w:rsidR="00F42A52">
        <w:t>target is</w:t>
      </w:r>
      <w:r w:rsidR="000C3831">
        <w:t xml:space="preserve"> to take the stock to a C rating</w:t>
      </w:r>
      <w:r w:rsidR="000275FC">
        <w:t xml:space="preserve">. At present there are </w:t>
      </w:r>
      <w:r w:rsidR="00ED70C5">
        <w:t>63</w:t>
      </w:r>
      <w:r w:rsidR="000275FC">
        <w:t xml:space="preserve">% of properties below an EPC C rating. </w:t>
      </w:r>
    </w:p>
    <w:p w14:paraId="61FA2087" w14:textId="7CC5CC92" w:rsidR="005859B8" w:rsidRDefault="005859B8">
      <w:pPr>
        <w:spacing w:after="120"/>
        <w:ind w:left="720" w:hanging="720"/>
      </w:pPr>
      <w:r>
        <w:tab/>
        <w:t>Reduction of our Carbon output</w:t>
      </w:r>
      <w:r w:rsidR="00166E89">
        <w:t>. This will be in conjunction with our wider climate change strategy</w:t>
      </w:r>
      <w:r w:rsidR="000275FC">
        <w:t xml:space="preserve">. </w:t>
      </w:r>
    </w:p>
    <w:p w14:paraId="45BD05B0" w14:textId="23C38B34" w:rsidR="005859B8" w:rsidRDefault="005859B8">
      <w:pPr>
        <w:tabs>
          <w:tab w:val="left" w:pos="1448"/>
        </w:tabs>
        <w:spacing w:after="120"/>
        <w:ind w:left="720" w:hanging="720"/>
      </w:pPr>
      <w:r>
        <w:t>3.4</w:t>
      </w:r>
      <w:r>
        <w:tab/>
        <w:t>Damp and Mould</w:t>
      </w:r>
      <w:r w:rsidR="00850CB0">
        <w:t xml:space="preserve"> </w:t>
      </w:r>
      <w:r w:rsidR="00137350">
        <w:t>–</w:t>
      </w:r>
      <w:r w:rsidR="00850CB0">
        <w:t xml:space="preserve"> </w:t>
      </w:r>
      <w:r w:rsidR="000275FC">
        <w:t>r</w:t>
      </w:r>
      <w:r w:rsidR="00137350">
        <w:t>eport</w:t>
      </w:r>
      <w:r w:rsidR="000275FC">
        <w:t>s</w:t>
      </w:r>
      <w:r w:rsidR="00137350">
        <w:t xml:space="preserve"> </w:t>
      </w:r>
      <w:r w:rsidR="000275FC">
        <w:t xml:space="preserve">of </w:t>
      </w:r>
      <w:r w:rsidR="00F42A52">
        <w:t>damp and m</w:t>
      </w:r>
      <w:r w:rsidR="00743085">
        <w:t>ould cases</w:t>
      </w:r>
      <w:r w:rsidR="000275FC">
        <w:t xml:space="preserve"> across the stock reducing – either reactive repairs being raised or through survey activity</w:t>
      </w:r>
      <w:r w:rsidR="00743085">
        <w:t xml:space="preserve">. </w:t>
      </w:r>
      <w:r w:rsidR="000275FC">
        <w:t>The Asset Management Strategy will a</w:t>
      </w:r>
      <w:r w:rsidR="009F32CB">
        <w:t>ddress the causes of damp and mould by</w:t>
      </w:r>
      <w:r w:rsidR="00053605">
        <w:t xml:space="preserve"> effective </w:t>
      </w:r>
      <w:r w:rsidR="006776A8">
        <w:t xml:space="preserve">appraisal and </w:t>
      </w:r>
      <w:r w:rsidR="00053605">
        <w:t>management</w:t>
      </w:r>
      <w:r w:rsidR="00483D77">
        <w:t>.</w:t>
      </w:r>
      <w:r w:rsidR="00053605">
        <w:t xml:space="preserve"> </w:t>
      </w:r>
      <w:r w:rsidR="00483D77">
        <w:t xml:space="preserve">This will be linked to our wider decarbonisation strategy. </w:t>
      </w:r>
    </w:p>
    <w:p w14:paraId="3F79E4BD" w14:textId="18B76C44" w:rsidR="003A40AC" w:rsidRDefault="005859B8" w:rsidP="004B2C7C">
      <w:pPr>
        <w:tabs>
          <w:tab w:val="left" w:pos="1448"/>
        </w:tabs>
        <w:spacing w:after="120"/>
        <w:ind w:left="720" w:hanging="720"/>
      </w:pPr>
      <w:r>
        <w:t xml:space="preserve">3.5 </w:t>
      </w:r>
      <w:r>
        <w:tab/>
        <w:t>Health and Safety compliance across</w:t>
      </w:r>
      <w:r w:rsidR="00416B2C">
        <w:t xml:space="preserve"> the stock including </w:t>
      </w:r>
      <w:r w:rsidR="00E93D01">
        <w:t>Fire safety, Electrical compliance, Gas Safety</w:t>
      </w:r>
      <w:r w:rsidR="00066536">
        <w:t xml:space="preserve">, </w:t>
      </w:r>
      <w:r w:rsidR="0095304E">
        <w:t>Legionella and</w:t>
      </w:r>
      <w:r w:rsidR="00066536">
        <w:t xml:space="preserve"> Asbestos</w:t>
      </w:r>
      <w:r w:rsidR="000275FC">
        <w:t xml:space="preserve">. These are statutory indicators which the Council will report against. </w:t>
      </w:r>
    </w:p>
    <w:p w14:paraId="02B9A1CD" w14:textId="76486636" w:rsidR="003A40AC" w:rsidRDefault="003A40AC" w:rsidP="00F55B78">
      <w:pPr>
        <w:spacing w:after="120"/>
        <w:ind w:left="720" w:hanging="720"/>
      </w:pPr>
      <w:r>
        <w:t>3.</w:t>
      </w:r>
      <w:r w:rsidR="005859B8">
        <w:t>6</w:t>
      </w:r>
      <w:r>
        <w:tab/>
      </w:r>
      <w:r w:rsidR="00BF6260">
        <w:t xml:space="preserve">Across our capital programmes, levels of decency will be recorded as well as the </w:t>
      </w:r>
      <w:r w:rsidR="00E843A7">
        <w:t xml:space="preserve">standard </w:t>
      </w:r>
      <w:r w:rsidR="007D64F2">
        <w:t>suite</w:t>
      </w:r>
      <w:r w:rsidR="00E843A7">
        <w:t xml:space="preserve"> of KPI’s </w:t>
      </w:r>
      <w:r w:rsidR="00C10AFF">
        <w:t>which form part of our Capital project schemes</w:t>
      </w:r>
      <w:r w:rsidR="00E843A7">
        <w:t xml:space="preserve"> which will includ</w:t>
      </w:r>
      <w:r w:rsidR="000C1E43">
        <w:t>e:</w:t>
      </w:r>
    </w:p>
    <w:p w14:paraId="55CF1A58" w14:textId="65BBD974" w:rsidR="000C1E43" w:rsidRDefault="006E5348" w:rsidP="00F55B78">
      <w:pPr>
        <w:spacing w:after="120"/>
        <w:ind w:left="720" w:hanging="720"/>
      </w:pPr>
      <w:r>
        <w:tab/>
        <w:t>Cost</w:t>
      </w:r>
      <w:r w:rsidR="00B501FD">
        <w:t xml:space="preserve"> </w:t>
      </w:r>
      <w:r w:rsidR="00A855B1">
        <w:t>predictability</w:t>
      </w:r>
    </w:p>
    <w:p w14:paraId="03F66E74" w14:textId="44E07141" w:rsidR="00B501FD" w:rsidRDefault="00B501FD" w:rsidP="00F55B78">
      <w:pPr>
        <w:spacing w:after="120"/>
        <w:ind w:left="720" w:hanging="720"/>
      </w:pPr>
      <w:r>
        <w:tab/>
        <w:t>Quality</w:t>
      </w:r>
    </w:p>
    <w:p w14:paraId="08979D17" w14:textId="29005DB5" w:rsidR="006E5348" w:rsidRDefault="006E5348" w:rsidP="00F55B78">
      <w:pPr>
        <w:spacing w:after="120"/>
        <w:ind w:left="720" w:hanging="720"/>
      </w:pPr>
      <w:r>
        <w:tab/>
        <w:t xml:space="preserve">Time </w:t>
      </w:r>
      <w:r w:rsidR="00A855B1">
        <w:t>predictability</w:t>
      </w:r>
      <w:r w:rsidR="00B501FD">
        <w:t xml:space="preserve"> </w:t>
      </w:r>
    </w:p>
    <w:p w14:paraId="1447B39B" w14:textId="3CA80AC5" w:rsidR="006E5348" w:rsidRDefault="006E5348" w:rsidP="00F55B78">
      <w:pPr>
        <w:spacing w:after="120"/>
        <w:ind w:left="720" w:hanging="720"/>
      </w:pPr>
      <w:r>
        <w:tab/>
        <w:t xml:space="preserve">Resident </w:t>
      </w:r>
      <w:r w:rsidR="00A855B1">
        <w:t>Satisfaction</w:t>
      </w:r>
      <w:r w:rsidR="00B501FD">
        <w:t>/Client sat</w:t>
      </w:r>
      <w:r w:rsidR="00A855B1">
        <w:t>isfaction</w:t>
      </w:r>
    </w:p>
    <w:p w14:paraId="43934FF3" w14:textId="7596C954" w:rsidR="00E90134" w:rsidRDefault="00A855B1">
      <w:pPr>
        <w:spacing w:after="120"/>
        <w:ind w:left="720" w:hanging="720"/>
      </w:pPr>
      <w:r>
        <w:tab/>
        <w:t>Health &amp; Safety</w:t>
      </w:r>
    </w:p>
    <w:p w14:paraId="4DBD94CF" w14:textId="77C1760B" w:rsidR="000273D8" w:rsidRDefault="000275FC">
      <w:pPr>
        <w:spacing w:after="120"/>
        <w:ind w:left="720" w:hanging="720"/>
      </w:pPr>
      <w:r>
        <w:t>3.7</w:t>
      </w:r>
      <w:r>
        <w:tab/>
        <w:t>The s</w:t>
      </w:r>
      <w:r w:rsidR="00F47431">
        <w:t>p</w:t>
      </w:r>
      <w:r>
        <w:t>e</w:t>
      </w:r>
      <w:r w:rsidR="00F47431">
        <w:t>cific targets will be developed in line with the 3</w:t>
      </w:r>
      <w:r>
        <w:t>-</w:t>
      </w:r>
      <w:r w:rsidR="00F47431">
        <w:t>year capital</w:t>
      </w:r>
      <w:r w:rsidR="00E5404F">
        <w:t xml:space="preserve"> </w:t>
      </w:r>
      <w:r w:rsidR="00F47431">
        <w:t>programme</w:t>
      </w:r>
      <w:r>
        <w:t>. The Capital Programme will set the funding level so that we can plan investment in order to maximise performance with clear timelines.</w:t>
      </w:r>
    </w:p>
    <w:p w14:paraId="5D6E9FA9" w14:textId="4093D09F" w:rsidR="00F50A12" w:rsidRDefault="008D3B4C" w:rsidP="00F55B78">
      <w:pPr>
        <w:spacing w:after="120"/>
      </w:pPr>
      <w:r>
        <w:rPr>
          <w:b/>
          <w:bCs/>
        </w:rPr>
        <w:t>4.0</w:t>
      </w:r>
      <w:r>
        <w:rPr>
          <w:b/>
          <w:bCs/>
        </w:rPr>
        <w:tab/>
      </w:r>
      <w:r w:rsidR="00F50A12" w:rsidRPr="00B762DD">
        <w:rPr>
          <w:b/>
          <w:bCs/>
        </w:rPr>
        <w:t>Environmental Issues</w:t>
      </w:r>
    </w:p>
    <w:p w14:paraId="40983E2F" w14:textId="1C046DE9" w:rsidR="00933B56" w:rsidRDefault="00933B56" w:rsidP="00F55B78">
      <w:pPr>
        <w:pStyle w:val="Default"/>
        <w:ind w:left="720" w:hanging="720"/>
      </w:pPr>
      <w:r>
        <w:t xml:space="preserve"> </w:t>
      </w:r>
      <w:r w:rsidR="008A5324">
        <w:t>4.1</w:t>
      </w:r>
      <w:r w:rsidR="008A5324">
        <w:tab/>
      </w:r>
      <w:r>
        <w:t xml:space="preserve">The Asset Management Strategy includes Decarbonisation works as a priority and this is reflected in the 3 year capital programme. The programme is </w:t>
      </w:r>
      <w:r w:rsidRPr="009D668B">
        <w:t>expected to result in the following outcomes:</w:t>
      </w:r>
    </w:p>
    <w:p w14:paraId="2B9658DB" w14:textId="77777777" w:rsidR="00933B56" w:rsidRPr="009D668B" w:rsidRDefault="00933B56" w:rsidP="00F55B78">
      <w:pPr>
        <w:pStyle w:val="Default"/>
        <w:ind w:left="792"/>
      </w:pPr>
    </w:p>
    <w:p w14:paraId="41DBA3D9" w14:textId="77777777" w:rsidR="00933B56" w:rsidRPr="009D668B" w:rsidRDefault="00933B56" w:rsidP="00F55B78">
      <w:pPr>
        <w:pStyle w:val="Default"/>
        <w:spacing w:after="220"/>
        <w:ind w:left="792"/>
      </w:pPr>
      <w:r w:rsidRPr="009D668B">
        <w:t xml:space="preserve">a. </w:t>
      </w:r>
      <w:r w:rsidRPr="00D55C39">
        <w:rPr>
          <w:b/>
          <w:bCs/>
        </w:rPr>
        <w:t>Tackle fuel poverty</w:t>
      </w:r>
      <w:r w:rsidRPr="009D668B">
        <w:t xml:space="preserve"> by increasing low-income household’s energy efficiency rating and therefore reducing their energy bills. </w:t>
      </w:r>
    </w:p>
    <w:p w14:paraId="222990F4" w14:textId="77777777" w:rsidR="00933B56" w:rsidRPr="009D668B" w:rsidRDefault="00933B56" w:rsidP="00F55B78">
      <w:pPr>
        <w:pStyle w:val="Default"/>
        <w:spacing w:after="220"/>
        <w:ind w:left="792"/>
      </w:pPr>
      <w:r w:rsidRPr="009D668B">
        <w:lastRenderedPageBreak/>
        <w:t xml:space="preserve">b. </w:t>
      </w:r>
      <w:r w:rsidRPr="00D55C39">
        <w:rPr>
          <w:b/>
          <w:bCs/>
        </w:rPr>
        <w:t>Support clean growth</w:t>
      </w:r>
      <w:r w:rsidRPr="009D668B">
        <w:t xml:space="preserve"> and ensure homes are thermally comfortable, efficient, and well-adapted to climate change. </w:t>
      </w:r>
    </w:p>
    <w:p w14:paraId="2FAAA14E" w14:textId="77777777" w:rsidR="00933B56" w:rsidRPr="009D668B" w:rsidRDefault="00933B56" w:rsidP="00F55B78">
      <w:pPr>
        <w:pStyle w:val="Default"/>
        <w:spacing w:after="220"/>
        <w:ind w:left="792"/>
      </w:pPr>
      <w:r w:rsidRPr="009D668B">
        <w:t xml:space="preserve">c. </w:t>
      </w:r>
      <w:r w:rsidRPr="00D55C39">
        <w:rPr>
          <w:b/>
          <w:bCs/>
        </w:rPr>
        <w:t xml:space="preserve">Support economic resilience and a green recovery </w:t>
      </w:r>
      <w:r w:rsidRPr="009D668B">
        <w:t xml:space="preserve">in response to the economic impacts of Covid-19, creating thousands of jobs; and </w:t>
      </w:r>
    </w:p>
    <w:p w14:paraId="3FFAFDCF" w14:textId="77777777" w:rsidR="00933B56" w:rsidRDefault="00933B56" w:rsidP="00F55B78">
      <w:pPr>
        <w:pStyle w:val="Default"/>
        <w:ind w:left="792"/>
      </w:pPr>
      <w:r w:rsidRPr="009D668B">
        <w:t xml:space="preserve">d. </w:t>
      </w:r>
      <w:r w:rsidRPr="00D55C39">
        <w:rPr>
          <w:b/>
          <w:bCs/>
        </w:rPr>
        <w:t>Use learnings</w:t>
      </w:r>
      <w:r w:rsidRPr="009D668B">
        <w:t xml:space="preserve"> </w:t>
      </w:r>
      <w:r w:rsidRPr="00D55C39">
        <w:rPr>
          <w:b/>
          <w:bCs/>
        </w:rPr>
        <w:t>from the delivery experience</w:t>
      </w:r>
      <w:r w:rsidRPr="009D668B">
        <w:t xml:space="preserve"> to inform the development and design of further energy efficiency and heat schemes. </w:t>
      </w:r>
    </w:p>
    <w:p w14:paraId="1AE7CB30" w14:textId="77777777" w:rsidR="00933B56" w:rsidRDefault="00933B56" w:rsidP="00F55B78">
      <w:pPr>
        <w:pStyle w:val="Default"/>
        <w:ind w:left="792"/>
      </w:pPr>
    </w:p>
    <w:p w14:paraId="496AB3DF" w14:textId="77777777" w:rsidR="00933B56" w:rsidRPr="0023061D" w:rsidRDefault="00933B56" w:rsidP="00F55B78">
      <w:pPr>
        <w:pStyle w:val="Default"/>
        <w:ind w:left="792"/>
      </w:pPr>
      <w:r>
        <w:t xml:space="preserve">e. </w:t>
      </w:r>
      <w:r w:rsidRPr="007C568C">
        <w:rPr>
          <w:b/>
          <w:bCs/>
        </w:rPr>
        <w:t>Reduce carbon emissions</w:t>
      </w:r>
      <w:r>
        <w:rPr>
          <w:b/>
          <w:bCs/>
        </w:rPr>
        <w:t xml:space="preserve"> </w:t>
      </w:r>
      <w:r>
        <w:t xml:space="preserve">from homes within our boroughs, directly contributing to addressing the declared climate emergency. </w:t>
      </w:r>
    </w:p>
    <w:p w14:paraId="1D835E23" w14:textId="77777777" w:rsidR="00933B56" w:rsidRDefault="00933B56" w:rsidP="00F55B78">
      <w:pPr>
        <w:pStyle w:val="Default"/>
        <w:rPr>
          <w:color w:val="auto"/>
        </w:rPr>
      </w:pPr>
    </w:p>
    <w:p w14:paraId="23DAEC4F" w14:textId="1F3AAAD1" w:rsidR="005E0163" w:rsidRDefault="00113ED9" w:rsidP="00F55B78">
      <w:pPr>
        <w:tabs>
          <w:tab w:val="left" w:pos="7245"/>
        </w:tabs>
        <w:rPr>
          <w:szCs w:val="24"/>
        </w:rPr>
      </w:pPr>
      <w:r>
        <w:rPr>
          <w:rFonts w:cs="Arial"/>
          <w:b/>
          <w:bCs/>
          <w:sz w:val="28"/>
          <w:szCs w:val="28"/>
        </w:rPr>
        <w:t xml:space="preserve">5.0  </w:t>
      </w:r>
      <w:r w:rsidR="0030661C">
        <w:rPr>
          <w:rFonts w:cs="Arial"/>
          <w:b/>
          <w:bCs/>
          <w:sz w:val="28"/>
          <w:szCs w:val="28"/>
        </w:rPr>
        <w:t xml:space="preserve">  </w:t>
      </w:r>
      <w:r w:rsidR="002A3FEF" w:rsidRPr="0030661C">
        <w:rPr>
          <w:rFonts w:cs="Arial"/>
          <w:b/>
          <w:bCs/>
          <w:sz w:val="28"/>
          <w:szCs w:val="28"/>
        </w:rPr>
        <w:t>Dat</w:t>
      </w:r>
      <w:r w:rsidR="00DE72CF" w:rsidRPr="0030661C">
        <w:rPr>
          <w:rFonts w:cs="Arial"/>
          <w:b/>
          <w:bCs/>
          <w:sz w:val="28"/>
          <w:szCs w:val="28"/>
        </w:rPr>
        <w:t>a</w:t>
      </w:r>
      <w:r w:rsidR="002A3FEF" w:rsidRPr="0030661C">
        <w:rPr>
          <w:rFonts w:cs="Arial"/>
          <w:b/>
          <w:bCs/>
          <w:sz w:val="28"/>
          <w:szCs w:val="28"/>
        </w:rPr>
        <w:t xml:space="preserve"> Protection Implications</w:t>
      </w:r>
      <w:r w:rsidR="001540EE" w:rsidRPr="0030661C">
        <w:rPr>
          <w:rFonts w:cs="Arial"/>
          <w:b/>
          <w:bCs/>
          <w:sz w:val="28"/>
          <w:szCs w:val="28"/>
        </w:rPr>
        <w:t xml:space="preserve">  </w:t>
      </w:r>
    </w:p>
    <w:p w14:paraId="67A6212A" w14:textId="4F950B2F" w:rsidR="0078260B" w:rsidRDefault="001540EE" w:rsidP="00F55B78">
      <w:pPr>
        <w:tabs>
          <w:tab w:val="left" w:pos="7245"/>
        </w:tabs>
        <w:rPr>
          <w:szCs w:val="24"/>
        </w:rPr>
      </w:pPr>
      <w:r w:rsidRPr="00F14CC6">
        <w:rPr>
          <w:szCs w:val="24"/>
        </w:rPr>
        <w:t xml:space="preserve">                                                                                   </w:t>
      </w:r>
    </w:p>
    <w:p w14:paraId="38371AC1" w14:textId="39A1D94C" w:rsidR="00673633" w:rsidRDefault="00113ED9" w:rsidP="00F55B78">
      <w:pPr>
        <w:pStyle w:val="Heading4"/>
        <w:ind w:left="720" w:hanging="720"/>
        <w:rPr>
          <w:rFonts w:cs="Times New Roman"/>
          <w:b w:val="0"/>
          <w:bCs/>
        </w:rPr>
      </w:pPr>
      <w:r>
        <w:rPr>
          <w:b w:val="0"/>
          <w:bCs/>
          <w:szCs w:val="24"/>
        </w:rPr>
        <w:t>5.1</w:t>
      </w:r>
      <w:r w:rsidR="0078260B" w:rsidRPr="0078260B">
        <w:rPr>
          <w:b w:val="0"/>
          <w:bCs/>
          <w:szCs w:val="24"/>
        </w:rPr>
        <w:tab/>
      </w:r>
      <w:r w:rsidR="00673633" w:rsidRPr="0078260B">
        <w:rPr>
          <w:rFonts w:cs="Times New Roman"/>
          <w:b w:val="0"/>
          <w:bCs/>
        </w:rPr>
        <w:t xml:space="preserve">All personal data processed in connection with the </w:t>
      </w:r>
      <w:r w:rsidR="003E17EF" w:rsidRPr="003E17EF">
        <w:rPr>
          <w:rFonts w:cs="Times New Roman"/>
          <w:b w:val="0"/>
          <w:bCs/>
        </w:rPr>
        <w:t xml:space="preserve">Asset Management Strategy </w:t>
      </w:r>
      <w:r w:rsidR="003E17EF">
        <w:rPr>
          <w:rFonts w:cs="Times New Roman"/>
          <w:b w:val="0"/>
          <w:bCs/>
        </w:rPr>
        <w:t xml:space="preserve">and any related </w:t>
      </w:r>
      <w:r w:rsidR="00FC6B2B">
        <w:rPr>
          <w:rFonts w:cs="Times New Roman"/>
          <w:b w:val="0"/>
          <w:bCs/>
        </w:rPr>
        <w:t xml:space="preserve">procurement </w:t>
      </w:r>
      <w:r w:rsidR="00FC6B2B" w:rsidRPr="0078260B">
        <w:rPr>
          <w:rFonts w:cs="Times New Roman"/>
          <w:b w:val="0"/>
          <w:bCs/>
        </w:rPr>
        <w:t>will</w:t>
      </w:r>
      <w:r w:rsidR="00673633" w:rsidRPr="0078260B">
        <w:rPr>
          <w:rFonts w:cs="Times New Roman"/>
          <w:b w:val="0"/>
          <w:bCs/>
        </w:rPr>
        <w:t xml:space="preserve"> be carried </w:t>
      </w:r>
      <w:r w:rsidR="00AE3DA2" w:rsidRPr="0078260B">
        <w:rPr>
          <w:rFonts w:cs="Times New Roman"/>
          <w:b w:val="0"/>
          <w:bCs/>
        </w:rPr>
        <w:t>out in</w:t>
      </w:r>
      <w:r w:rsidR="00673633" w:rsidRPr="0078260B">
        <w:rPr>
          <w:rFonts w:cs="Times New Roman"/>
          <w:b w:val="0"/>
          <w:bCs/>
        </w:rPr>
        <w:t xml:space="preserve"> full compliance with data protection laws including the Data Protection Act 2018 and </w:t>
      </w:r>
      <w:r w:rsidR="006C13AC">
        <w:rPr>
          <w:rFonts w:cs="Times New Roman"/>
          <w:b w:val="0"/>
          <w:bCs/>
        </w:rPr>
        <w:t xml:space="preserve">the UK </w:t>
      </w:r>
      <w:r w:rsidR="003E3FC2" w:rsidRPr="003E3FC2">
        <w:rPr>
          <w:rFonts w:cs="Times New Roman"/>
          <w:b w:val="0"/>
          <w:bCs/>
        </w:rPr>
        <w:t>General Data Protection Regulation</w:t>
      </w:r>
      <w:r w:rsidR="003E3FC2">
        <w:rPr>
          <w:rFonts w:cs="Times New Roman"/>
          <w:b w:val="0"/>
          <w:bCs/>
        </w:rPr>
        <w:t>.</w:t>
      </w:r>
      <w:r w:rsidR="00673633" w:rsidRPr="0078260B">
        <w:rPr>
          <w:rFonts w:cs="Times New Roman"/>
          <w:b w:val="0"/>
          <w:bCs/>
        </w:rPr>
        <w:t>.</w:t>
      </w:r>
    </w:p>
    <w:p w14:paraId="75284416" w14:textId="046E1A8A" w:rsidR="00A81E19" w:rsidRDefault="00113ED9" w:rsidP="00F55B78">
      <w:pPr>
        <w:pStyle w:val="Heading3"/>
        <w:spacing w:before="480" w:after="240"/>
        <w:jc w:val="left"/>
      </w:pPr>
      <w:r>
        <w:t>6.0</w:t>
      </w:r>
      <w:r w:rsidR="00FE68AE">
        <w:tab/>
      </w:r>
      <w:r w:rsidR="00A81E19" w:rsidRPr="001472A8">
        <w:t>Risk Management Implications</w:t>
      </w:r>
    </w:p>
    <w:p w14:paraId="3325FEB6" w14:textId="108B01E8" w:rsidR="00927435" w:rsidRDefault="00113ED9" w:rsidP="00F55B78">
      <w:pPr>
        <w:pStyle w:val="BodyTextIndent"/>
        <w:spacing w:after="0"/>
        <w:ind w:left="0"/>
      </w:pPr>
      <w:r>
        <w:t xml:space="preserve">6.1      </w:t>
      </w:r>
      <w:r w:rsidR="00927435" w:rsidRPr="008326C3">
        <w:t>Risks included on corporate or directorate risk register? Yes</w:t>
      </w:r>
    </w:p>
    <w:p w14:paraId="53A968F4" w14:textId="77777777" w:rsidR="00927435" w:rsidRPr="008326C3" w:rsidRDefault="00927435" w:rsidP="00F55B78">
      <w:pPr>
        <w:pStyle w:val="BodyTextIndent"/>
        <w:spacing w:after="0"/>
        <w:ind w:left="720"/>
      </w:pPr>
      <w:r w:rsidRPr="008326C3">
        <w:t xml:space="preserve">  </w:t>
      </w:r>
    </w:p>
    <w:p w14:paraId="252C3481" w14:textId="20F5CCC3" w:rsidR="00927435" w:rsidRPr="008326C3" w:rsidRDefault="00927435" w:rsidP="00F55B78">
      <w:pPr>
        <w:pStyle w:val="BodyTextIndent"/>
        <w:spacing w:after="0"/>
        <w:ind w:left="720"/>
      </w:pPr>
      <w:r w:rsidRPr="008326C3">
        <w:t>Separate risk</w:t>
      </w:r>
      <w:r w:rsidR="003076BA">
        <w:t>-</w:t>
      </w:r>
      <w:r w:rsidRPr="008326C3">
        <w:t xml:space="preserve">register in place? </w:t>
      </w:r>
      <w:r w:rsidR="00894A1A">
        <w:t>No</w:t>
      </w:r>
    </w:p>
    <w:p w14:paraId="2BE706DD" w14:textId="77777777" w:rsidR="00927435" w:rsidRDefault="00927435" w:rsidP="00F55B78">
      <w:pPr>
        <w:pStyle w:val="BodyTextIndent"/>
        <w:spacing w:after="0"/>
        <w:ind w:left="720"/>
      </w:pPr>
    </w:p>
    <w:p w14:paraId="58FF297F" w14:textId="40E066FC" w:rsidR="00927435" w:rsidRDefault="00927435" w:rsidP="00F55B78">
      <w:pPr>
        <w:pStyle w:val="BodyTextIndent"/>
        <w:spacing w:after="0"/>
        <w:ind w:left="720"/>
      </w:pPr>
      <w:r>
        <w:t xml:space="preserve">The relevant risks contained in the register are attached/summarised below. </w:t>
      </w:r>
      <w:r w:rsidR="00894A1A">
        <w:t>No</w:t>
      </w:r>
    </w:p>
    <w:p w14:paraId="0160233D" w14:textId="60348DE3" w:rsidR="00894A1A" w:rsidRDefault="00894A1A" w:rsidP="00F55B78">
      <w:pPr>
        <w:pStyle w:val="BodyTextIndent"/>
        <w:spacing w:after="0"/>
        <w:ind w:left="720"/>
      </w:pPr>
    </w:p>
    <w:p w14:paraId="5B34162E" w14:textId="7843CA69" w:rsidR="00894A1A" w:rsidRDefault="00894A1A" w:rsidP="00F55B78">
      <w:pPr>
        <w:pStyle w:val="BodyTextIndent"/>
        <w:spacing w:after="0"/>
        <w:ind w:left="720"/>
      </w:pPr>
    </w:p>
    <w:p w14:paraId="5BB906F8" w14:textId="644D366D" w:rsidR="00894A1A" w:rsidRDefault="00894A1A" w:rsidP="00F55B78">
      <w:pPr>
        <w:pStyle w:val="BodyTextIndent"/>
        <w:spacing w:after="0"/>
        <w:ind w:left="720"/>
      </w:pPr>
    </w:p>
    <w:p w14:paraId="142A3FF3" w14:textId="7207E790" w:rsidR="00F636EC" w:rsidRDefault="00F636EC" w:rsidP="00F55B78">
      <w:pPr>
        <w:pStyle w:val="BodyTextIndent"/>
        <w:spacing w:after="0"/>
        <w:ind w:left="0"/>
        <w:rPr>
          <w:b/>
          <w:bCs/>
        </w:rPr>
      </w:pPr>
    </w:p>
    <w:p w14:paraId="3E042ED4" w14:textId="41854BA4" w:rsidR="000275FC" w:rsidRDefault="000275FC" w:rsidP="00F55B78">
      <w:pPr>
        <w:pStyle w:val="BodyTextIndent"/>
        <w:spacing w:after="0"/>
        <w:ind w:left="0"/>
        <w:rPr>
          <w:b/>
          <w:bCs/>
        </w:rPr>
      </w:pPr>
    </w:p>
    <w:p w14:paraId="31B39724" w14:textId="51B9FB45" w:rsidR="000275FC" w:rsidRDefault="000275FC" w:rsidP="00F55B78">
      <w:pPr>
        <w:pStyle w:val="BodyTextIndent"/>
        <w:spacing w:after="0"/>
        <w:ind w:left="0"/>
        <w:rPr>
          <w:b/>
          <w:bCs/>
        </w:rPr>
      </w:pPr>
    </w:p>
    <w:p w14:paraId="66E972EF" w14:textId="24EB381B" w:rsidR="000275FC" w:rsidRDefault="000275FC" w:rsidP="00F55B78">
      <w:pPr>
        <w:pStyle w:val="BodyTextIndent"/>
        <w:spacing w:after="0"/>
        <w:ind w:left="0"/>
        <w:rPr>
          <w:b/>
          <w:bCs/>
        </w:rPr>
      </w:pPr>
    </w:p>
    <w:p w14:paraId="6ED43242" w14:textId="5D98EEA2" w:rsidR="000275FC" w:rsidRDefault="000275FC" w:rsidP="00F55B78">
      <w:pPr>
        <w:pStyle w:val="BodyTextIndent"/>
        <w:spacing w:after="0"/>
        <w:ind w:left="0"/>
        <w:rPr>
          <w:b/>
          <w:bCs/>
        </w:rPr>
      </w:pPr>
    </w:p>
    <w:p w14:paraId="4F07A2FA" w14:textId="730440C3" w:rsidR="000275FC" w:rsidRDefault="000275FC" w:rsidP="00F55B78">
      <w:pPr>
        <w:pStyle w:val="BodyTextIndent"/>
        <w:spacing w:after="0"/>
        <w:ind w:left="0"/>
        <w:rPr>
          <w:b/>
          <w:bCs/>
        </w:rPr>
      </w:pPr>
    </w:p>
    <w:p w14:paraId="053560EB" w14:textId="6BD3D662" w:rsidR="000275FC" w:rsidRDefault="000275FC" w:rsidP="00F55B78">
      <w:pPr>
        <w:pStyle w:val="BodyTextIndent"/>
        <w:spacing w:after="0"/>
        <w:ind w:left="0"/>
        <w:rPr>
          <w:b/>
          <w:bCs/>
        </w:rPr>
      </w:pPr>
    </w:p>
    <w:p w14:paraId="38D46497" w14:textId="4723B96A" w:rsidR="000275FC" w:rsidRDefault="000275FC" w:rsidP="00F55B78">
      <w:pPr>
        <w:pStyle w:val="BodyTextIndent"/>
        <w:spacing w:after="0"/>
        <w:ind w:left="0"/>
        <w:rPr>
          <w:b/>
          <w:bCs/>
        </w:rPr>
      </w:pPr>
    </w:p>
    <w:p w14:paraId="408CF911" w14:textId="7B3BC7AE" w:rsidR="000275FC" w:rsidRDefault="000275FC" w:rsidP="00F55B78">
      <w:pPr>
        <w:pStyle w:val="BodyTextIndent"/>
        <w:spacing w:after="0"/>
        <w:ind w:left="0"/>
        <w:rPr>
          <w:b/>
          <w:bCs/>
        </w:rPr>
      </w:pPr>
    </w:p>
    <w:p w14:paraId="3F685B7E" w14:textId="218ABF3A" w:rsidR="000275FC" w:rsidRDefault="000275FC" w:rsidP="00F55B78">
      <w:pPr>
        <w:pStyle w:val="BodyTextIndent"/>
        <w:spacing w:after="0"/>
        <w:ind w:left="0"/>
        <w:rPr>
          <w:b/>
          <w:bCs/>
        </w:rPr>
      </w:pPr>
    </w:p>
    <w:p w14:paraId="6EA31A92" w14:textId="77777777" w:rsidR="000275FC" w:rsidRDefault="000275FC" w:rsidP="00F55B78">
      <w:pPr>
        <w:pStyle w:val="BodyTextIndent"/>
        <w:spacing w:after="0"/>
        <w:ind w:left="0"/>
        <w:rPr>
          <w:b/>
          <w:bCs/>
        </w:rPr>
      </w:pPr>
    </w:p>
    <w:tbl>
      <w:tblPr>
        <w:tblpPr w:leftFromText="180" w:rightFromText="180" w:vertAnchor="text" w:horzAnchor="margin" w:tblpY="-994"/>
        <w:tblW w:w="9211" w:type="dxa"/>
        <w:tblCellMar>
          <w:left w:w="10" w:type="dxa"/>
          <w:right w:w="10" w:type="dxa"/>
        </w:tblCellMar>
        <w:tblLook w:val="0000" w:firstRow="0" w:lastRow="0" w:firstColumn="0" w:lastColumn="0" w:noHBand="0" w:noVBand="0"/>
      </w:tblPr>
      <w:tblGrid>
        <w:gridCol w:w="2735"/>
        <w:gridCol w:w="4606"/>
        <w:gridCol w:w="1870"/>
      </w:tblGrid>
      <w:tr w:rsidR="00373869" w:rsidRPr="00266D52" w14:paraId="1FB9D378" w14:textId="77777777" w:rsidTr="407C6527">
        <w:trPr>
          <w:trHeight w:val="277"/>
        </w:trPr>
        <w:tc>
          <w:tcPr>
            <w:tcW w:w="92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vAlign w:val="center"/>
          </w:tcPr>
          <w:p w14:paraId="2745116A" w14:textId="77777777" w:rsidR="00373869" w:rsidRPr="00266D52" w:rsidRDefault="00373869" w:rsidP="00F55B78">
            <w:pPr>
              <w:ind w:right="141"/>
              <w:rPr>
                <w:rFonts w:cs="Arial"/>
                <w:b/>
                <w:bCs/>
                <w:szCs w:val="24"/>
                <w:lang w:val="en-US" w:eastAsia="en-GB"/>
              </w:rPr>
            </w:pPr>
            <w:r>
              <w:rPr>
                <w:rFonts w:cs="Arial"/>
                <w:b/>
                <w:bCs/>
                <w:szCs w:val="24"/>
                <w:lang w:val="en-US" w:eastAsia="en-GB"/>
              </w:rPr>
              <w:lastRenderedPageBreak/>
              <w:t>Table-1</w:t>
            </w:r>
          </w:p>
        </w:tc>
      </w:tr>
      <w:tr w:rsidR="00373869" w:rsidRPr="00266D52" w14:paraId="7428F79C" w14:textId="77777777" w:rsidTr="407C6527">
        <w:trPr>
          <w:trHeight w:val="277"/>
        </w:trPr>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F272C5" w14:textId="77777777" w:rsidR="00373869" w:rsidRPr="00266D52" w:rsidRDefault="00373869" w:rsidP="00F55B78">
            <w:pPr>
              <w:ind w:right="141"/>
              <w:rPr>
                <w:rFonts w:cs="Arial"/>
                <w:b/>
                <w:bCs/>
                <w:szCs w:val="24"/>
                <w:lang w:val="en-US" w:eastAsia="en-GB"/>
              </w:rPr>
            </w:pPr>
            <w:r w:rsidRPr="00266D52">
              <w:rPr>
                <w:rFonts w:cs="Arial"/>
                <w:b/>
                <w:bCs/>
                <w:szCs w:val="24"/>
                <w:lang w:val="en-US" w:eastAsia="en-GB"/>
              </w:rPr>
              <w:t xml:space="preserve">Risk Description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9B0AF" w14:textId="77777777" w:rsidR="00373869" w:rsidRPr="00266D52" w:rsidRDefault="00373869" w:rsidP="00F55B78">
            <w:pPr>
              <w:ind w:right="141"/>
              <w:rPr>
                <w:rFonts w:cs="Arial"/>
                <w:b/>
                <w:bCs/>
                <w:szCs w:val="24"/>
                <w:lang w:val="en-US" w:eastAsia="en-GB"/>
              </w:rPr>
            </w:pPr>
            <w:r w:rsidRPr="00266D52">
              <w:rPr>
                <w:rFonts w:cs="Arial"/>
                <w:b/>
                <w:bCs/>
                <w:szCs w:val="24"/>
                <w:lang w:val="en-US" w:eastAsia="en-GB"/>
              </w:rPr>
              <w:t xml:space="preserve">Mitigations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706BD721" w14:textId="77777777" w:rsidR="00373869" w:rsidRPr="00266D52" w:rsidRDefault="00373869" w:rsidP="00F55B78">
            <w:pPr>
              <w:ind w:right="141"/>
              <w:rPr>
                <w:rFonts w:cs="Arial"/>
                <w:b/>
                <w:bCs/>
                <w:szCs w:val="24"/>
                <w:lang w:val="en-US" w:eastAsia="en-GB"/>
              </w:rPr>
            </w:pPr>
            <w:r w:rsidRPr="00266D52">
              <w:rPr>
                <w:rFonts w:cs="Arial"/>
                <w:b/>
                <w:bCs/>
                <w:szCs w:val="24"/>
                <w:lang w:val="en-US" w:eastAsia="en-GB"/>
              </w:rPr>
              <w:t xml:space="preserve">RAG Status </w:t>
            </w:r>
          </w:p>
        </w:tc>
      </w:tr>
      <w:tr w:rsidR="00A63AB9" w:rsidRPr="00266D52" w14:paraId="4FB8DAA2" w14:textId="77777777" w:rsidTr="407C6527">
        <w:trPr>
          <w:trHeight w:val="1516"/>
        </w:trPr>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B007CB" w14:textId="61810584" w:rsidR="00A63AB9" w:rsidRPr="00266D52" w:rsidRDefault="00A63AB9" w:rsidP="00F55B78">
            <w:pPr>
              <w:ind w:right="141"/>
              <w:rPr>
                <w:rFonts w:ascii="Arial Nova" w:eastAsia="Calibri" w:hAnsi="Arial Nova" w:cs="Arial"/>
                <w:b/>
                <w:bCs/>
                <w:sz w:val="18"/>
                <w:szCs w:val="18"/>
              </w:rPr>
            </w:pPr>
            <w:r w:rsidRPr="00266D52">
              <w:rPr>
                <w:rFonts w:ascii="Arial Nova" w:eastAsia="Calibri" w:hAnsi="Arial Nova" w:cs="Arial"/>
                <w:b/>
                <w:bCs/>
                <w:sz w:val="18"/>
                <w:szCs w:val="18"/>
              </w:rPr>
              <w:t xml:space="preserve">Specific risks that are currently unknown </w:t>
            </w:r>
            <w:r w:rsidRPr="002B7B94">
              <w:rPr>
                <w:rFonts w:ascii="Arial Nova" w:eastAsia="Calibri" w:hAnsi="Arial Nova" w:cs="Arial"/>
                <w:b/>
                <w:bCs/>
                <w:sz w:val="18"/>
                <w:szCs w:val="18"/>
              </w:rPr>
              <w:t>arising upon pro</w:t>
            </w:r>
            <w:r>
              <w:rPr>
                <w:rFonts w:ascii="Arial Nova" w:eastAsia="Calibri" w:hAnsi="Arial Nova" w:cs="Arial"/>
                <w:b/>
                <w:bCs/>
                <w:sz w:val="18"/>
                <w:szCs w:val="18"/>
              </w:rPr>
              <w:t xml:space="preserve">gramme </w:t>
            </w:r>
            <w:r w:rsidRPr="002B7B94">
              <w:rPr>
                <w:rFonts w:ascii="Arial Nova" w:eastAsia="Calibri" w:hAnsi="Arial Nova" w:cs="Arial"/>
                <w:b/>
                <w:bCs/>
                <w:sz w:val="18"/>
                <w:szCs w:val="18"/>
              </w:rPr>
              <w:t>commencement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7D4C9" w14:textId="66900080" w:rsidR="00A63AB9" w:rsidRPr="00266D52" w:rsidRDefault="00A63AB9" w:rsidP="00F55B78">
            <w:pPr>
              <w:rPr>
                <w:rFonts w:ascii="Arial Nova" w:eastAsia="Calibri" w:hAnsi="Arial Nova" w:cs="Arial"/>
                <w:sz w:val="18"/>
                <w:szCs w:val="18"/>
              </w:rPr>
            </w:pPr>
            <w:r w:rsidRPr="00266D52">
              <w:rPr>
                <w:rFonts w:ascii="Arial Nova" w:eastAsia="Calibri" w:hAnsi="Arial Nova" w:cs="Arial"/>
                <w:sz w:val="18"/>
                <w:szCs w:val="18"/>
              </w:rPr>
              <w:t xml:space="preserve">A risk register specific for this </w:t>
            </w:r>
            <w:r w:rsidR="00C04DB3">
              <w:rPr>
                <w:rFonts w:ascii="Arial Nova" w:eastAsia="Calibri" w:hAnsi="Arial Nova" w:cs="Arial"/>
                <w:sz w:val="18"/>
                <w:szCs w:val="18"/>
              </w:rPr>
              <w:t xml:space="preserve">Asset Management Strategy (AMS) and related </w:t>
            </w:r>
            <w:r w:rsidR="00FC6B2B">
              <w:rPr>
                <w:rFonts w:ascii="Arial Nova" w:eastAsia="Calibri" w:hAnsi="Arial Nova" w:cs="Arial"/>
                <w:sz w:val="18"/>
                <w:szCs w:val="18"/>
              </w:rPr>
              <w:t xml:space="preserve">procurement </w:t>
            </w:r>
            <w:r w:rsidR="00FC6B2B" w:rsidRPr="00266D52">
              <w:rPr>
                <w:rFonts w:ascii="Arial Nova" w:eastAsia="Calibri" w:hAnsi="Arial Nova" w:cs="Arial"/>
                <w:sz w:val="18"/>
                <w:szCs w:val="18"/>
              </w:rPr>
              <w:t>will</w:t>
            </w:r>
            <w:r w:rsidRPr="00266D52">
              <w:rPr>
                <w:rFonts w:ascii="Arial Nova" w:eastAsia="Calibri" w:hAnsi="Arial Nova" w:cs="Arial"/>
                <w:sz w:val="18"/>
                <w:szCs w:val="18"/>
              </w:rPr>
              <w:t xml:space="preserve"> be started from the </w:t>
            </w:r>
            <w:r w:rsidRPr="00266D52">
              <w:rPr>
                <w:rFonts w:ascii="Arial Nova" w:eastAsia="Calibri" w:hAnsi="Arial Nova" w:cs="Arial"/>
                <w:sz w:val="18"/>
                <w:szCs w:val="18"/>
              </w:rPr>
              <w:tab/>
              <w:t>outset of the process and will be maintained and reviewed by all relevant staff regularly</w:t>
            </w:r>
            <w:r>
              <w:rPr>
                <w:rFonts w:ascii="Arial Nova" w:eastAsia="Calibri" w:hAnsi="Arial Nova" w:cs="Arial"/>
                <w:sz w:val="18"/>
                <w:szCs w:val="18"/>
              </w:rPr>
              <w:t xml:space="preserve">. </w:t>
            </w:r>
            <w:r w:rsidRPr="00266D52">
              <w:rPr>
                <w:rFonts w:ascii="Arial Nova" w:eastAsia="Calibri" w:hAnsi="Arial Nova" w:cs="Arial"/>
                <w:sz w:val="18"/>
                <w:szCs w:val="18"/>
              </w:rPr>
              <w:t xml:space="preserve"> </w:t>
            </w:r>
          </w:p>
          <w:p w14:paraId="111AD4ED" w14:textId="77777777" w:rsidR="00A63AB9" w:rsidRPr="00266D52" w:rsidRDefault="00A63AB9" w:rsidP="00F55B78">
            <w:pPr>
              <w:rPr>
                <w:rFonts w:ascii="Arial Nova" w:eastAsia="Calibri" w:hAnsi="Arial Nova" w:cs="Arial"/>
                <w:sz w:val="18"/>
                <w:szCs w:val="18"/>
              </w:rPr>
            </w:pPr>
          </w:p>
          <w:p w14:paraId="0C3D09E3" w14:textId="77777777" w:rsidR="00A63AB9" w:rsidRPr="00266D52" w:rsidRDefault="00A63AB9" w:rsidP="001B7C60">
            <w:pPr>
              <w:rPr>
                <w:rFonts w:ascii="Arial Nova" w:eastAsia="Calibri" w:hAnsi="Arial Nova" w:cs="Arial"/>
                <w:sz w:val="18"/>
                <w:szCs w:val="18"/>
              </w:rPr>
            </w:pP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tcPr>
          <w:p w14:paraId="1CA48720" w14:textId="77777777" w:rsidR="00A63AB9" w:rsidRDefault="00A63AB9" w:rsidP="00F55B78">
            <w:pPr>
              <w:rPr>
                <w:rFonts w:ascii="Arial Nova" w:eastAsia="Calibri" w:hAnsi="Arial Nova" w:cs="Arial"/>
                <w:sz w:val="18"/>
                <w:szCs w:val="18"/>
              </w:rPr>
            </w:pPr>
          </w:p>
          <w:p w14:paraId="6EE0A945" w14:textId="77777777" w:rsidR="00A63AB9" w:rsidRDefault="00A63AB9" w:rsidP="00F55B78">
            <w:pPr>
              <w:rPr>
                <w:rFonts w:ascii="Arial Nova" w:eastAsia="Calibri" w:hAnsi="Arial Nova" w:cs="Arial"/>
                <w:sz w:val="18"/>
                <w:szCs w:val="18"/>
              </w:rPr>
            </w:pPr>
          </w:p>
          <w:p w14:paraId="3BCAA351" w14:textId="77777777" w:rsidR="00A63AB9" w:rsidRDefault="00A63AB9" w:rsidP="00F55B78">
            <w:pPr>
              <w:rPr>
                <w:rFonts w:ascii="Arial Nova" w:eastAsia="Calibri" w:hAnsi="Arial Nova" w:cs="Arial"/>
                <w:sz w:val="18"/>
                <w:szCs w:val="18"/>
              </w:rPr>
            </w:pPr>
          </w:p>
          <w:p w14:paraId="1CB10FD3" w14:textId="67E83FF4" w:rsidR="00A63AB9" w:rsidRPr="00266D52" w:rsidRDefault="00A63AB9" w:rsidP="00F55B78">
            <w:pPr>
              <w:rPr>
                <w:rFonts w:ascii="Arial Nova" w:eastAsia="Calibri" w:hAnsi="Arial Nova" w:cs="Arial"/>
                <w:sz w:val="18"/>
                <w:szCs w:val="18"/>
              </w:rPr>
            </w:pPr>
            <w:r>
              <w:rPr>
                <w:rFonts w:ascii="Arial Nova" w:eastAsia="Calibri" w:hAnsi="Arial Nova" w:cs="Arial"/>
                <w:sz w:val="18"/>
                <w:szCs w:val="18"/>
              </w:rPr>
              <w:t>Green</w:t>
            </w:r>
          </w:p>
        </w:tc>
      </w:tr>
      <w:tr w:rsidR="00A63AB9" w:rsidRPr="00266D52" w14:paraId="486F040B" w14:textId="77777777" w:rsidTr="407C6527">
        <w:trPr>
          <w:trHeight w:val="1516"/>
        </w:trPr>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A84F8C" w14:textId="511DAA10" w:rsidR="00A63AB9" w:rsidRPr="00266D52" w:rsidRDefault="00CD64D2" w:rsidP="00F55B78">
            <w:pPr>
              <w:ind w:right="141"/>
              <w:rPr>
                <w:rFonts w:ascii="Arial Nova" w:eastAsia="Calibri" w:hAnsi="Arial Nova" w:cs="Arial"/>
                <w:b/>
                <w:bCs/>
                <w:sz w:val="18"/>
                <w:szCs w:val="18"/>
              </w:rPr>
            </w:pPr>
            <w:r>
              <w:rPr>
                <w:rFonts w:ascii="Arial Nova" w:eastAsia="Calibri" w:hAnsi="Arial Nova" w:cs="Arial"/>
                <w:b/>
                <w:bCs/>
                <w:sz w:val="18"/>
                <w:szCs w:val="18"/>
              </w:rPr>
              <w:t xml:space="preserve">Asset Management </w:t>
            </w:r>
            <w:r w:rsidR="00C2422D">
              <w:rPr>
                <w:rFonts w:ascii="Arial Nova" w:eastAsia="Calibri" w:hAnsi="Arial Nova" w:cs="Arial"/>
                <w:b/>
                <w:bCs/>
                <w:sz w:val="18"/>
                <w:szCs w:val="18"/>
              </w:rPr>
              <w:t xml:space="preserve">failing to </w:t>
            </w:r>
            <w:r w:rsidR="00FC6B2B">
              <w:rPr>
                <w:rFonts w:ascii="Arial Nova" w:eastAsia="Calibri" w:hAnsi="Arial Nova" w:cs="Arial"/>
                <w:b/>
                <w:bCs/>
                <w:sz w:val="18"/>
                <w:szCs w:val="18"/>
              </w:rPr>
              <w:t>be achieving</w:t>
            </w:r>
            <w:r>
              <w:rPr>
                <w:rFonts w:ascii="Arial Nova" w:eastAsia="Calibri" w:hAnsi="Arial Nova" w:cs="Arial"/>
                <w:b/>
                <w:bCs/>
                <w:sz w:val="18"/>
                <w:szCs w:val="18"/>
              </w:rPr>
              <w:t xml:space="preserve"> </w:t>
            </w:r>
            <w:r w:rsidR="00D14C54">
              <w:rPr>
                <w:rFonts w:ascii="Arial Nova" w:eastAsia="Calibri" w:hAnsi="Arial Nova" w:cs="Arial"/>
                <w:b/>
                <w:bCs/>
                <w:sz w:val="18"/>
                <w:szCs w:val="18"/>
              </w:rPr>
              <w:t xml:space="preserve">a more planned approach </w:t>
            </w:r>
            <w:r w:rsidR="007B218D">
              <w:rPr>
                <w:rFonts w:ascii="Arial Nova" w:eastAsia="Calibri" w:hAnsi="Arial Nova" w:cs="Arial"/>
                <w:b/>
                <w:bCs/>
                <w:sz w:val="18"/>
                <w:szCs w:val="18"/>
              </w:rPr>
              <w:t>than reactive appr</w:t>
            </w:r>
            <w:r w:rsidR="000F1338">
              <w:rPr>
                <w:rFonts w:ascii="Arial Nova" w:eastAsia="Calibri" w:hAnsi="Arial Nova" w:cs="Arial"/>
                <w:b/>
                <w:bCs/>
                <w:sz w:val="18"/>
                <w:szCs w:val="18"/>
              </w:rPr>
              <w:t>oach</w:t>
            </w:r>
            <w:r w:rsidR="00044AF5">
              <w:rPr>
                <w:rFonts w:ascii="Arial Nova" w:eastAsia="Calibri" w:hAnsi="Arial Nova" w:cs="Arial"/>
                <w:b/>
                <w:bCs/>
                <w:sz w:val="18"/>
                <w:szCs w:val="18"/>
              </w:rPr>
              <w:t xml:space="preserve"> in line with a 60/40 split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06768" w14:textId="463D0C09" w:rsidR="00A63AB9" w:rsidRPr="00266D52" w:rsidRDefault="00A63AB9" w:rsidP="00F55B78">
            <w:pPr>
              <w:rPr>
                <w:rFonts w:ascii="Arial Nova" w:eastAsia="Calibri" w:hAnsi="Arial Nova" w:cs="Arial"/>
                <w:sz w:val="18"/>
                <w:szCs w:val="18"/>
              </w:rPr>
            </w:pPr>
            <w:r>
              <w:rPr>
                <w:rFonts w:ascii="Arial Nova" w:eastAsia="Calibri" w:hAnsi="Arial Nova" w:cs="Arial"/>
                <w:sz w:val="18"/>
                <w:szCs w:val="18"/>
              </w:rPr>
              <w:t xml:space="preserve">Ensuring </w:t>
            </w:r>
            <w:r w:rsidR="000F1338">
              <w:rPr>
                <w:rFonts w:ascii="Arial Nova" w:eastAsia="Calibri" w:hAnsi="Arial Nova" w:cs="Arial"/>
                <w:sz w:val="18"/>
                <w:szCs w:val="18"/>
              </w:rPr>
              <w:t>the Asset Management strategy</w:t>
            </w:r>
            <w:r w:rsidR="00A715E5">
              <w:rPr>
                <w:rFonts w:ascii="Arial Nova" w:eastAsia="Calibri" w:hAnsi="Arial Nova" w:cs="Arial"/>
                <w:sz w:val="18"/>
                <w:szCs w:val="18"/>
              </w:rPr>
              <w:t xml:space="preserve"> and relevant action plan</w:t>
            </w:r>
            <w:r w:rsidR="000F1338">
              <w:rPr>
                <w:rFonts w:ascii="Arial Nova" w:eastAsia="Calibri" w:hAnsi="Arial Nova" w:cs="Arial"/>
                <w:sz w:val="18"/>
                <w:szCs w:val="18"/>
              </w:rPr>
              <w:t xml:space="preserve"> is implemented</w:t>
            </w:r>
            <w:r w:rsidR="00A715E5">
              <w:rPr>
                <w:rFonts w:ascii="Arial Nova" w:eastAsia="Calibri" w:hAnsi="Arial Nova" w:cs="Arial"/>
                <w:sz w:val="18"/>
                <w:szCs w:val="18"/>
              </w:rPr>
              <w:t>.</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vAlign w:val="center"/>
          </w:tcPr>
          <w:p w14:paraId="778BC770" w14:textId="77777777" w:rsidR="00A63AB9" w:rsidRPr="00266D52" w:rsidRDefault="00A63AB9" w:rsidP="00F55B78">
            <w:pPr>
              <w:rPr>
                <w:rFonts w:ascii="Arial Nova" w:eastAsia="Calibri" w:hAnsi="Arial Nova" w:cs="Arial"/>
                <w:sz w:val="18"/>
                <w:szCs w:val="18"/>
              </w:rPr>
            </w:pPr>
            <w:r>
              <w:rPr>
                <w:rFonts w:ascii="Arial Nova" w:eastAsia="Calibri" w:hAnsi="Arial Nova" w:cs="Arial"/>
                <w:sz w:val="18"/>
                <w:szCs w:val="18"/>
              </w:rPr>
              <w:t>Amber</w:t>
            </w:r>
          </w:p>
        </w:tc>
      </w:tr>
      <w:tr w:rsidR="00A63AB9" w14:paraId="1A98F40F" w14:textId="77777777" w:rsidTr="407C6527">
        <w:trPr>
          <w:trHeight w:val="1516"/>
        </w:trPr>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FAEEE3" w14:textId="04935774" w:rsidR="00A63AB9" w:rsidRDefault="00A63AB9" w:rsidP="00F55B78">
            <w:pPr>
              <w:ind w:right="141"/>
              <w:rPr>
                <w:rFonts w:ascii="Arial Nova" w:eastAsia="Calibri" w:hAnsi="Arial Nova" w:cs="Arial"/>
                <w:b/>
                <w:bCs/>
                <w:sz w:val="18"/>
                <w:szCs w:val="18"/>
              </w:rPr>
            </w:pPr>
            <w:r w:rsidRPr="00266D52">
              <w:rPr>
                <w:rFonts w:ascii="Arial Nova" w:eastAsia="Calibri" w:hAnsi="Arial Nova" w:cs="Arial"/>
                <w:b/>
                <w:bCs/>
                <w:sz w:val="18"/>
                <w:szCs w:val="18"/>
              </w:rPr>
              <w:t xml:space="preserve">VFM </w:t>
            </w:r>
            <w:r>
              <w:rPr>
                <w:rFonts w:ascii="Arial Nova" w:eastAsia="Calibri" w:hAnsi="Arial Nova" w:cs="Arial"/>
                <w:b/>
                <w:bCs/>
                <w:sz w:val="18"/>
                <w:szCs w:val="18"/>
              </w:rPr>
              <w:t>not achieved for pro</w:t>
            </w:r>
            <w:r w:rsidR="004C5AB7">
              <w:rPr>
                <w:rFonts w:ascii="Arial Nova" w:eastAsia="Calibri" w:hAnsi="Arial Nova" w:cs="Arial"/>
                <w:b/>
                <w:bCs/>
                <w:sz w:val="18"/>
                <w:szCs w:val="18"/>
              </w:rPr>
              <w:t>gramme</w:t>
            </w:r>
            <w:r w:rsidR="00B84BFE">
              <w:rPr>
                <w:rFonts w:ascii="Arial Nova" w:eastAsia="Calibri" w:hAnsi="Arial Nova" w:cs="Arial"/>
                <w:b/>
                <w:bCs/>
                <w:sz w:val="18"/>
                <w:szCs w:val="18"/>
              </w:rPr>
              <w:t xml:space="preserve">. Failure to deliver </w:t>
            </w:r>
            <w:r w:rsidR="00FC6B2B">
              <w:rPr>
                <w:rFonts w:ascii="Arial Nova" w:eastAsia="Calibri" w:hAnsi="Arial Nova" w:cs="Arial"/>
                <w:b/>
                <w:bCs/>
                <w:sz w:val="18"/>
                <w:szCs w:val="18"/>
              </w:rPr>
              <w:t>efficiencies across</w:t>
            </w:r>
            <w:r w:rsidR="00044AF5">
              <w:rPr>
                <w:rFonts w:ascii="Arial Nova" w:eastAsia="Calibri" w:hAnsi="Arial Nova" w:cs="Arial"/>
                <w:b/>
                <w:bCs/>
                <w:sz w:val="18"/>
                <w:szCs w:val="18"/>
              </w:rPr>
              <w:t xml:space="preserve"> </w:t>
            </w:r>
            <w:r w:rsidR="0029246B">
              <w:rPr>
                <w:rFonts w:ascii="Arial Nova" w:eastAsia="Calibri" w:hAnsi="Arial Nova" w:cs="Arial"/>
                <w:b/>
                <w:bCs/>
                <w:sz w:val="18"/>
                <w:szCs w:val="18"/>
              </w:rPr>
              <w:t xml:space="preserve">a </w:t>
            </w:r>
            <w:r w:rsidR="00FC6B2B">
              <w:rPr>
                <w:rFonts w:ascii="Arial Nova" w:eastAsia="Calibri" w:hAnsi="Arial Nova" w:cs="Arial"/>
                <w:b/>
                <w:bCs/>
                <w:sz w:val="18"/>
                <w:szCs w:val="18"/>
              </w:rPr>
              <w:t>3-year</w:t>
            </w:r>
            <w:r w:rsidR="0029246B">
              <w:rPr>
                <w:rFonts w:ascii="Arial Nova" w:eastAsia="Calibri" w:hAnsi="Arial Nova" w:cs="Arial"/>
                <w:b/>
                <w:bCs/>
                <w:sz w:val="18"/>
                <w:szCs w:val="18"/>
              </w:rPr>
              <w:t xml:space="preserve"> planned programme</w:t>
            </w:r>
          </w:p>
          <w:p w14:paraId="66AB72F3" w14:textId="5434BC02" w:rsidR="00A63AB9" w:rsidRDefault="00A63AB9" w:rsidP="000B79E9">
            <w:pPr>
              <w:ind w:right="141"/>
              <w:rPr>
                <w:rFonts w:ascii="Arial Nova" w:eastAsia="Calibri" w:hAnsi="Arial Nova" w:cs="Arial"/>
                <w:b/>
                <w:bCs/>
                <w:sz w:val="18"/>
                <w:szCs w:val="18"/>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5B11D" w14:textId="3692D29F" w:rsidR="00A63AB9" w:rsidRDefault="00C3199A" w:rsidP="00F55B78">
            <w:pPr>
              <w:rPr>
                <w:rFonts w:ascii="Arial Nova" w:eastAsia="Calibri" w:hAnsi="Arial Nova" w:cs="Arial"/>
                <w:sz w:val="18"/>
                <w:szCs w:val="18"/>
              </w:rPr>
            </w:pPr>
            <w:r>
              <w:rPr>
                <w:rFonts w:ascii="Arial Nova" w:eastAsia="Calibri" w:hAnsi="Arial Nova" w:cs="Arial"/>
                <w:sz w:val="18"/>
                <w:szCs w:val="18"/>
              </w:rPr>
              <w:t xml:space="preserve">Develop a procurement strategy for the </w:t>
            </w:r>
            <w:r w:rsidR="00FC6B2B">
              <w:rPr>
                <w:rFonts w:ascii="Arial Nova" w:eastAsia="Calibri" w:hAnsi="Arial Nova" w:cs="Arial"/>
                <w:sz w:val="18"/>
                <w:szCs w:val="18"/>
              </w:rPr>
              <w:t>3-year</w:t>
            </w:r>
            <w:r>
              <w:rPr>
                <w:rFonts w:ascii="Arial Nova" w:eastAsia="Calibri" w:hAnsi="Arial Nova" w:cs="Arial"/>
                <w:sz w:val="18"/>
                <w:szCs w:val="18"/>
              </w:rPr>
              <w:t xml:space="preserve"> Capital programme which will allow to pack</w:t>
            </w:r>
            <w:r w:rsidR="00AF5141">
              <w:rPr>
                <w:rFonts w:ascii="Arial Nova" w:eastAsia="Calibri" w:hAnsi="Arial Nova" w:cs="Arial"/>
                <w:sz w:val="18"/>
                <w:szCs w:val="18"/>
              </w:rPr>
              <w:t>age works efficiently. Look at all elemental works packages and look to carry out individual procurements</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vAlign w:val="center"/>
          </w:tcPr>
          <w:p w14:paraId="0A488167" w14:textId="77777777" w:rsidR="00A63AB9" w:rsidRDefault="00A63AB9" w:rsidP="00F55B78">
            <w:pPr>
              <w:rPr>
                <w:rFonts w:ascii="Arial Nova" w:eastAsia="Calibri" w:hAnsi="Arial Nova" w:cs="Arial"/>
                <w:sz w:val="18"/>
                <w:szCs w:val="18"/>
              </w:rPr>
            </w:pPr>
            <w:r>
              <w:rPr>
                <w:rFonts w:ascii="Arial Nova" w:eastAsia="Calibri" w:hAnsi="Arial Nova" w:cs="Arial"/>
                <w:sz w:val="18"/>
                <w:szCs w:val="18"/>
              </w:rPr>
              <w:t>Amber</w:t>
            </w:r>
          </w:p>
        </w:tc>
      </w:tr>
      <w:tr w:rsidR="00814B92" w14:paraId="6A5F5259" w14:textId="77777777" w:rsidTr="407C6527">
        <w:trPr>
          <w:trHeight w:val="1516"/>
        </w:trPr>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39D109" w14:textId="11BE7753" w:rsidR="007E3B51" w:rsidRPr="003612AC" w:rsidRDefault="00C2422D" w:rsidP="00F55B78">
            <w:pPr>
              <w:ind w:right="141"/>
              <w:rPr>
                <w:rFonts w:ascii="Arial Nova" w:eastAsia="Calibri" w:hAnsi="Arial Nova" w:cs="Arial"/>
                <w:b/>
                <w:bCs/>
                <w:sz w:val="18"/>
                <w:szCs w:val="18"/>
              </w:rPr>
            </w:pPr>
            <w:r>
              <w:rPr>
                <w:rFonts w:ascii="Arial Nova" w:eastAsia="Calibri" w:hAnsi="Arial Nova" w:cs="Arial"/>
                <w:b/>
                <w:bCs/>
                <w:sz w:val="18"/>
                <w:szCs w:val="18"/>
              </w:rPr>
              <w:t xml:space="preserve">Failure to </w:t>
            </w:r>
            <w:r w:rsidR="007944F3" w:rsidRPr="00165507">
              <w:rPr>
                <w:rFonts w:ascii="Arial Nova" w:eastAsia="Calibri" w:hAnsi="Arial Nova" w:cs="Arial"/>
                <w:b/>
                <w:bCs/>
                <w:sz w:val="18"/>
                <w:szCs w:val="18"/>
              </w:rPr>
              <w:t>Meet statutory requirements concerning the planned maintenance of stock</w:t>
            </w:r>
            <w:r w:rsidR="00005516">
              <w:rPr>
                <w:rFonts w:ascii="Arial Nova" w:eastAsia="Calibri" w:hAnsi="Arial Nova" w:cs="Arial"/>
                <w:b/>
                <w:bCs/>
                <w:sz w:val="18"/>
                <w:szCs w:val="18"/>
              </w:rPr>
              <w:t xml:space="preserve"> and to improve the homes for our residents</w:t>
            </w:r>
            <w:r w:rsidR="007944F3" w:rsidRPr="00165507">
              <w:rPr>
                <w:rFonts w:ascii="Arial Nova" w:eastAsia="Calibri" w:hAnsi="Arial Nova" w:cs="Arial"/>
                <w:b/>
                <w:bCs/>
                <w:sz w:val="18"/>
                <w:szCs w:val="18"/>
              </w:rPr>
              <w:t xml:space="preserve"> </w:t>
            </w:r>
            <w:r w:rsidR="007E3B51">
              <w:rPr>
                <w:rFonts w:ascii="Arial Nova" w:eastAsia="Calibri" w:hAnsi="Arial Nova" w:cs="Arial"/>
                <w:b/>
                <w:bCs/>
                <w:sz w:val="18"/>
                <w:szCs w:val="18"/>
              </w:rPr>
              <w:t xml:space="preserve">and failure to improve </w:t>
            </w:r>
            <w:r w:rsidR="00AE1AAC">
              <w:rPr>
                <w:rFonts w:ascii="Arial Nova" w:eastAsia="Calibri" w:hAnsi="Arial Nova" w:cs="Arial"/>
                <w:b/>
                <w:bCs/>
                <w:sz w:val="18"/>
                <w:szCs w:val="18"/>
              </w:rPr>
              <w:t>homes for residents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C49B4" w14:textId="51C10B4B" w:rsidR="00AE1AAC" w:rsidRDefault="00AE1AAC" w:rsidP="00F55B78">
            <w:pPr>
              <w:rPr>
                <w:rFonts w:ascii="Arial Nova" w:eastAsia="Calibri" w:hAnsi="Arial Nova" w:cs="Arial"/>
                <w:sz w:val="18"/>
                <w:szCs w:val="18"/>
              </w:rPr>
            </w:pPr>
            <w:r>
              <w:rPr>
                <w:rFonts w:ascii="Arial Nova" w:eastAsia="Calibri" w:hAnsi="Arial Nova" w:cs="Arial"/>
                <w:sz w:val="18"/>
                <w:szCs w:val="18"/>
              </w:rPr>
              <w:t>D</w:t>
            </w:r>
            <w:r w:rsidR="00752BD0" w:rsidRPr="00752BD0">
              <w:rPr>
                <w:rFonts w:ascii="Arial Nova" w:eastAsia="Calibri" w:hAnsi="Arial Nova" w:cs="Arial"/>
                <w:sz w:val="18"/>
                <w:szCs w:val="18"/>
              </w:rPr>
              <w:t>elivery of Decent Homes Standard and council estate improvements</w:t>
            </w:r>
            <w:r w:rsidR="00894A1A">
              <w:rPr>
                <w:rFonts w:ascii="Arial Nova" w:eastAsia="Calibri" w:hAnsi="Arial Nova" w:cs="Arial"/>
                <w:sz w:val="18"/>
                <w:szCs w:val="18"/>
              </w:rPr>
              <w:t xml:space="preserve"> via the </w:t>
            </w:r>
            <w:r w:rsidR="00FC6B2B">
              <w:rPr>
                <w:rFonts w:ascii="Arial Nova" w:eastAsia="Calibri" w:hAnsi="Arial Nova" w:cs="Arial"/>
                <w:sz w:val="18"/>
                <w:szCs w:val="18"/>
              </w:rPr>
              <w:t>3-year</w:t>
            </w:r>
            <w:r w:rsidR="00894A1A">
              <w:rPr>
                <w:rFonts w:ascii="Arial Nova" w:eastAsia="Calibri" w:hAnsi="Arial Nova" w:cs="Arial"/>
                <w:sz w:val="18"/>
                <w:szCs w:val="18"/>
              </w:rPr>
              <w:t xml:space="preserve"> capital programme</w:t>
            </w:r>
            <w:r w:rsidR="00752BD0" w:rsidRPr="00752BD0">
              <w:rPr>
                <w:rFonts w:ascii="Arial Nova" w:eastAsia="Calibri" w:hAnsi="Arial Nova" w:cs="Arial"/>
                <w:sz w:val="18"/>
                <w:szCs w:val="18"/>
              </w:rPr>
              <w:t>, landlord compliance and building safety objectives and carbon reduction and energy efficiency targets</w:t>
            </w:r>
            <w:r w:rsidR="00676245">
              <w:rPr>
                <w:rFonts w:ascii="Arial Nova" w:eastAsia="Calibri" w:hAnsi="Arial Nova" w:cs="Arial"/>
                <w:sz w:val="18"/>
                <w:szCs w:val="18"/>
              </w:rPr>
              <w:t xml:space="preserve">. </w:t>
            </w:r>
            <w:r w:rsidR="00085CDF">
              <w:rPr>
                <w:rFonts w:ascii="Arial Nova" w:eastAsia="Calibri" w:hAnsi="Arial Nova" w:cs="Arial"/>
                <w:sz w:val="18"/>
                <w:szCs w:val="18"/>
              </w:rPr>
              <w:t>The council will meet the targets stipulated in the action plan</w:t>
            </w:r>
            <w:r>
              <w:rPr>
                <w:rFonts w:ascii="Arial Nova" w:eastAsia="Calibri" w:hAnsi="Arial Nova" w:cs="Arial"/>
                <w:sz w:val="18"/>
                <w:szCs w:val="18"/>
              </w:rPr>
              <w:t>.</w:t>
            </w:r>
          </w:p>
          <w:p w14:paraId="3116A1E8" w14:textId="3A061E67" w:rsidR="00AE1AAC" w:rsidRPr="003612AC" w:rsidRDefault="00661859" w:rsidP="00F55B78">
            <w:pPr>
              <w:rPr>
                <w:rFonts w:ascii="Arial Nova" w:eastAsia="Calibri" w:hAnsi="Arial Nova" w:cs="Arial"/>
                <w:sz w:val="18"/>
                <w:szCs w:val="18"/>
              </w:rPr>
            </w:pPr>
            <w:r w:rsidRPr="00661859">
              <w:rPr>
                <w:rFonts w:ascii="Arial Nova" w:eastAsia="Calibri" w:hAnsi="Arial Nova" w:cs="Arial"/>
                <w:sz w:val="18"/>
                <w:szCs w:val="18"/>
              </w:rPr>
              <w:t>The new Asset Management Strategy will improve homes for our residents and improve the customer experience as well as ensuring effective investment in our assets making sure they are fit for purpose</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vAlign w:val="center"/>
          </w:tcPr>
          <w:p w14:paraId="4C4E13ED" w14:textId="03795991" w:rsidR="00814B92" w:rsidRDefault="00814B92" w:rsidP="00F55B78">
            <w:pPr>
              <w:rPr>
                <w:rFonts w:ascii="Arial Nova" w:eastAsia="Calibri" w:hAnsi="Arial Nova" w:cs="Arial"/>
                <w:color w:val="FFFFFF" w:themeColor="background1"/>
                <w:sz w:val="18"/>
                <w:szCs w:val="18"/>
              </w:rPr>
            </w:pPr>
            <w:r>
              <w:rPr>
                <w:rFonts w:ascii="Arial Nova" w:eastAsia="Calibri" w:hAnsi="Arial Nova" w:cs="Arial"/>
                <w:sz w:val="18"/>
                <w:szCs w:val="18"/>
              </w:rPr>
              <w:t>Amber</w:t>
            </w:r>
          </w:p>
        </w:tc>
      </w:tr>
      <w:tr w:rsidR="00C2422D" w14:paraId="318FF380" w14:textId="77777777" w:rsidTr="407C6527">
        <w:trPr>
          <w:trHeight w:val="1516"/>
        </w:trPr>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EB5203" w14:textId="00CD9D54" w:rsidR="00C2422D" w:rsidRDefault="00005516" w:rsidP="00F55B78">
            <w:pPr>
              <w:ind w:right="141"/>
              <w:rPr>
                <w:rFonts w:ascii="Arial Nova" w:eastAsia="Calibri" w:hAnsi="Arial Nova" w:cs="Arial"/>
                <w:b/>
                <w:bCs/>
                <w:sz w:val="18"/>
                <w:szCs w:val="18"/>
              </w:rPr>
            </w:pPr>
            <w:r>
              <w:rPr>
                <w:rFonts w:ascii="Arial Nova" w:eastAsia="Calibri" w:hAnsi="Arial Nova" w:cs="Arial"/>
                <w:b/>
                <w:bCs/>
                <w:sz w:val="18"/>
                <w:szCs w:val="18"/>
              </w:rPr>
              <w:t xml:space="preserve">Failure to improve the customer experience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60805" w14:textId="5C535F3B" w:rsidR="00C2422D" w:rsidRDefault="009A1564" w:rsidP="00F55B78">
            <w:pPr>
              <w:rPr>
                <w:rFonts w:ascii="Arial Nova" w:eastAsia="Calibri" w:hAnsi="Arial Nova" w:cs="Arial"/>
                <w:sz w:val="18"/>
                <w:szCs w:val="18"/>
              </w:rPr>
            </w:pPr>
            <w:r>
              <w:rPr>
                <w:rFonts w:ascii="Arial Nova" w:eastAsia="Calibri" w:hAnsi="Arial Nova" w:cs="Arial"/>
                <w:sz w:val="18"/>
                <w:szCs w:val="18"/>
              </w:rPr>
              <w:t xml:space="preserve">The </w:t>
            </w:r>
            <w:r w:rsidR="00005516">
              <w:rPr>
                <w:rFonts w:ascii="Arial Nova" w:eastAsia="Calibri" w:hAnsi="Arial Nova" w:cs="Arial"/>
                <w:sz w:val="18"/>
                <w:szCs w:val="18"/>
              </w:rPr>
              <w:t>Asset Management Strategy will improve the customer experience</w:t>
            </w:r>
            <w:r w:rsidR="00313B32">
              <w:rPr>
                <w:rFonts w:ascii="Arial Nova" w:eastAsia="Calibri" w:hAnsi="Arial Nova" w:cs="Arial"/>
                <w:sz w:val="18"/>
                <w:szCs w:val="18"/>
              </w:rPr>
              <w:t xml:space="preserve"> by ensuring that resident feedback is captured effectively</w:t>
            </w:r>
            <w:r w:rsidR="00D5520E">
              <w:rPr>
                <w:rFonts w:ascii="Arial Nova" w:eastAsia="Calibri" w:hAnsi="Arial Nova" w:cs="Arial"/>
                <w:sz w:val="18"/>
                <w:szCs w:val="18"/>
              </w:rPr>
              <w:t xml:space="preserve"> and engage with residents proactively</w:t>
            </w:r>
            <w:r w:rsidR="00C11C98">
              <w:rPr>
                <w:rFonts w:ascii="Arial Nova" w:eastAsia="Calibri" w:hAnsi="Arial Nova" w:cs="Arial"/>
                <w:sz w:val="18"/>
                <w:szCs w:val="18"/>
              </w:rPr>
              <w:t xml:space="preserve"> to make sure they are informed on upcoming strategic decisions.</w:t>
            </w:r>
            <w:r w:rsidR="005D1220">
              <w:rPr>
                <w:rFonts w:ascii="Arial Nova" w:eastAsia="Calibri" w:hAnsi="Arial Nova" w:cs="Arial"/>
                <w:sz w:val="18"/>
                <w:szCs w:val="18"/>
              </w:rPr>
              <w:t xml:space="preserve"> Key</w:t>
            </w:r>
            <w:r w:rsidR="00B5326B">
              <w:rPr>
                <w:rFonts w:ascii="Arial Nova" w:eastAsia="Calibri" w:hAnsi="Arial Nova" w:cs="Arial"/>
                <w:sz w:val="18"/>
                <w:szCs w:val="18"/>
              </w:rPr>
              <w:t xml:space="preserve"> consultations will take place on upcoming programmes of work as well as a commitment to improved social value across all contracts</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vAlign w:val="center"/>
          </w:tcPr>
          <w:p w14:paraId="3B5E73DF" w14:textId="708D3FC5" w:rsidR="00C2422D" w:rsidRDefault="00165507" w:rsidP="00F55B78">
            <w:pPr>
              <w:rPr>
                <w:rFonts w:ascii="Arial Nova" w:eastAsia="Calibri" w:hAnsi="Arial Nova" w:cs="Arial"/>
                <w:sz w:val="18"/>
                <w:szCs w:val="18"/>
              </w:rPr>
            </w:pPr>
            <w:r>
              <w:rPr>
                <w:rFonts w:ascii="Arial Nova" w:eastAsia="Calibri" w:hAnsi="Arial Nova" w:cs="Arial"/>
                <w:sz w:val="18"/>
                <w:szCs w:val="18"/>
              </w:rPr>
              <w:t>Amber</w:t>
            </w:r>
          </w:p>
        </w:tc>
      </w:tr>
      <w:tr w:rsidR="00005516" w14:paraId="4E84A0A6" w14:textId="77777777" w:rsidTr="407C6527">
        <w:trPr>
          <w:trHeight w:val="1516"/>
        </w:trPr>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E8EDB6" w14:textId="581FC85D" w:rsidR="00005516" w:rsidRDefault="002B51B7" w:rsidP="00F55B78">
            <w:pPr>
              <w:ind w:right="141"/>
              <w:rPr>
                <w:rFonts w:ascii="Arial Nova" w:eastAsia="Calibri" w:hAnsi="Arial Nova" w:cs="Arial"/>
                <w:b/>
                <w:bCs/>
                <w:sz w:val="18"/>
                <w:szCs w:val="18"/>
              </w:rPr>
            </w:pPr>
            <w:r>
              <w:rPr>
                <w:rFonts w:ascii="Arial Nova" w:eastAsia="Calibri" w:hAnsi="Arial Nova" w:cs="Arial"/>
                <w:b/>
                <w:bCs/>
                <w:sz w:val="18"/>
                <w:szCs w:val="18"/>
              </w:rPr>
              <w:t>Failure to ensure effective investment in our assets making sure they are fit for purpose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40A20" w14:textId="63129E64" w:rsidR="00005516" w:rsidRDefault="009E567C" w:rsidP="00F55B78">
            <w:pPr>
              <w:rPr>
                <w:rFonts w:ascii="Arial Nova" w:eastAsia="Calibri" w:hAnsi="Arial Nova" w:cs="Arial"/>
                <w:sz w:val="18"/>
                <w:szCs w:val="18"/>
              </w:rPr>
            </w:pPr>
            <w:r>
              <w:rPr>
                <w:rFonts w:ascii="Arial Nova" w:eastAsia="Calibri" w:hAnsi="Arial Nova" w:cs="Arial"/>
                <w:sz w:val="18"/>
                <w:szCs w:val="18"/>
              </w:rPr>
              <w:t xml:space="preserve">Form </w:t>
            </w:r>
            <w:r w:rsidR="00165507">
              <w:rPr>
                <w:rFonts w:ascii="Arial Nova" w:eastAsia="Calibri" w:hAnsi="Arial Nova" w:cs="Arial"/>
                <w:sz w:val="18"/>
                <w:szCs w:val="18"/>
              </w:rPr>
              <w:t>Procurement</w:t>
            </w:r>
            <w:r w:rsidR="00894A1A">
              <w:rPr>
                <w:rFonts w:ascii="Arial Nova" w:eastAsia="Calibri" w:hAnsi="Arial Nova" w:cs="Arial"/>
                <w:sz w:val="18"/>
                <w:szCs w:val="18"/>
              </w:rPr>
              <w:t xml:space="preserve"> plan from Asset management strategy</w:t>
            </w:r>
            <w:r w:rsidRPr="00165507">
              <w:rPr>
                <w:rFonts w:ascii="Arial Nova" w:eastAsia="Calibri" w:hAnsi="Arial Nova" w:cs="Arial"/>
                <w:sz w:val="18"/>
                <w:szCs w:val="18"/>
                <w:u w:val="single"/>
              </w:rPr>
              <w:t xml:space="preserve">. </w:t>
            </w:r>
            <w:r w:rsidRPr="00165507">
              <w:rPr>
                <w:rFonts w:ascii="TT Hoves" w:hAnsi="TT Hoves"/>
                <w:color w:val="002060"/>
                <w:sz w:val="20"/>
                <w:u w:val="single"/>
              </w:rPr>
              <w:t xml:space="preserve"> </w:t>
            </w:r>
            <w:r w:rsidRPr="00165507">
              <w:rPr>
                <w:rFonts w:ascii="Arial Nova" w:eastAsia="Calibri" w:hAnsi="Arial Nova" w:cs="Arial"/>
                <w:sz w:val="18"/>
                <w:szCs w:val="18"/>
              </w:rPr>
              <w:t>Implement the three-year Planned Maintenance Programme (taking account of essential works, compliance and net zero priorities), and ensure medium-to long-term planning decisions balance ‘Just-in-Time’ efficiencies with coherent planned investment profiles.</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vAlign w:val="center"/>
          </w:tcPr>
          <w:p w14:paraId="52FD4909" w14:textId="77777777" w:rsidR="00005516" w:rsidRDefault="00005516" w:rsidP="00F55B78">
            <w:pPr>
              <w:rPr>
                <w:rFonts w:ascii="Arial Nova" w:eastAsia="Calibri" w:hAnsi="Arial Nova" w:cs="Arial"/>
                <w:sz w:val="18"/>
                <w:szCs w:val="18"/>
              </w:rPr>
            </w:pPr>
          </w:p>
          <w:p w14:paraId="2E355181" w14:textId="40F0C162" w:rsidR="00723434" w:rsidRDefault="00165507" w:rsidP="00F55B78">
            <w:pPr>
              <w:rPr>
                <w:rFonts w:ascii="Arial Nova" w:eastAsia="Calibri" w:hAnsi="Arial Nova" w:cs="Arial"/>
                <w:sz w:val="18"/>
                <w:szCs w:val="18"/>
              </w:rPr>
            </w:pPr>
            <w:r>
              <w:rPr>
                <w:rFonts w:ascii="Arial Nova" w:eastAsia="Calibri" w:hAnsi="Arial Nova" w:cs="Arial"/>
                <w:sz w:val="18"/>
                <w:szCs w:val="18"/>
              </w:rPr>
              <w:t>Amber</w:t>
            </w:r>
          </w:p>
        </w:tc>
      </w:tr>
      <w:tr w:rsidR="00723434" w14:paraId="1811ABEA" w14:textId="77777777" w:rsidTr="407C6527">
        <w:trPr>
          <w:trHeight w:val="1516"/>
        </w:trPr>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9CB9E2" w14:textId="43B490E2" w:rsidR="00723434" w:rsidRDefault="00723434" w:rsidP="00F55B78">
            <w:pPr>
              <w:ind w:right="141"/>
              <w:rPr>
                <w:rFonts w:ascii="Arial Nova" w:eastAsia="Calibri" w:hAnsi="Arial Nova" w:cs="Arial"/>
                <w:b/>
                <w:bCs/>
                <w:sz w:val="18"/>
                <w:szCs w:val="18"/>
              </w:rPr>
            </w:pPr>
            <w:r>
              <w:rPr>
                <w:rFonts w:ascii="Arial Nova" w:eastAsia="Calibri" w:hAnsi="Arial Nova" w:cs="Arial"/>
                <w:b/>
                <w:bCs/>
                <w:sz w:val="18"/>
                <w:szCs w:val="18"/>
              </w:rPr>
              <w:t>Asset management Plan is unafforable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3D257" w14:textId="736EFEB1" w:rsidR="00723434" w:rsidRDefault="00251CB2" w:rsidP="00F55B78">
            <w:pPr>
              <w:rPr>
                <w:rFonts w:ascii="Arial Nova" w:eastAsia="Calibri" w:hAnsi="Arial Nova" w:cs="Arial"/>
                <w:sz w:val="18"/>
                <w:szCs w:val="18"/>
              </w:rPr>
            </w:pPr>
            <w:r>
              <w:rPr>
                <w:rFonts w:ascii="Arial Nova" w:eastAsia="Calibri" w:hAnsi="Arial Nova" w:cs="Arial"/>
                <w:sz w:val="18"/>
                <w:szCs w:val="18"/>
              </w:rPr>
              <w:t>Work proactively with Finance colleagues to ensure that cost estimates</w:t>
            </w:r>
            <w:r w:rsidR="00F40E3F">
              <w:rPr>
                <w:rFonts w:ascii="Arial Nova" w:eastAsia="Calibri" w:hAnsi="Arial Nova" w:cs="Arial"/>
                <w:sz w:val="18"/>
                <w:szCs w:val="18"/>
              </w:rPr>
              <w:t xml:space="preserve"> are carried out across the programmes of work that develop from the strategy. </w:t>
            </w:r>
            <w:r w:rsidR="00FC6B2B">
              <w:rPr>
                <w:rFonts w:ascii="Arial Nova" w:eastAsia="Calibri" w:hAnsi="Arial Nova" w:cs="Arial"/>
                <w:sz w:val="18"/>
                <w:szCs w:val="18"/>
              </w:rPr>
              <w:t>Consider</w:t>
            </w:r>
            <w:r w:rsidR="00C04B85">
              <w:rPr>
                <w:rFonts w:ascii="Arial Nova" w:eastAsia="Calibri" w:hAnsi="Arial Nova" w:cs="Arial"/>
                <w:sz w:val="18"/>
                <w:szCs w:val="18"/>
              </w:rPr>
              <w:t xml:space="preserve"> the current financial climate when planning schemes</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vAlign w:val="center"/>
          </w:tcPr>
          <w:p w14:paraId="74F93921" w14:textId="7D7DEDA4" w:rsidR="00723434" w:rsidRDefault="00165507" w:rsidP="00F55B78">
            <w:pPr>
              <w:rPr>
                <w:rFonts w:ascii="Arial Nova" w:eastAsia="Calibri" w:hAnsi="Arial Nova" w:cs="Arial"/>
                <w:sz w:val="18"/>
                <w:szCs w:val="18"/>
              </w:rPr>
            </w:pPr>
            <w:r>
              <w:rPr>
                <w:rFonts w:ascii="Arial Nova" w:eastAsia="Calibri" w:hAnsi="Arial Nova" w:cs="Arial"/>
                <w:sz w:val="18"/>
                <w:szCs w:val="18"/>
              </w:rPr>
              <w:t>Amber</w:t>
            </w:r>
          </w:p>
        </w:tc>
      </w:tr>
    </w:tbl>
    <w:p w14:paraId="0249BBDB" w14:textId="0007F74D" w:rsidR="002A3FEF" w:rsidRDefault="000275FC" w:rsidP="00F55B78">
      <w:pPr>
        <w:pStyle w:val="Heading3"/>
        <w:spacing w:before="480" w:after="240"/>
        <w:jc w:val="left"/>
      </w:pPr>
      <w:r>
        <w:t>7</w:t>
      </w:r>
      <w:r w:rsidR="00113ED9">
        <w:t>.0</w:t>
      </w:r>
      <w:r w:rsidR="00FE68AE">
        <w:tab/>
      </w:r>
      <w:r w:rsidR="00723BC8">
        <w:t>P</w:t>
      </w:r>
      <w:r w:rsidR="002A3FEF">
        <w:t xml:space="preserve">rocurement Implications </w:t>
      </w:r>
      <w:r w:rsidR="00C2422D">
        <w:tab/>
      </w:r>
    </w:p>
    <w:p w14:paraId="1969A40D" w14:textId="77777777" w:rsidR="00A97A28" w:rsidRDefault="00153D50">
      <w:pPr>
        <w:ind w:left="709" w:hanging="709"/>
        <w:rPr>
          <w:rFonts w:cs="Arial"/>
        </w:rPr>
      </w:pPr>
      <w:r>
        <w:rPr>
          <w:rFonts w:cs="Arial"/>
        </w:rPr>
        <w:t>7.1</w:t>
      </w:r>
      <w:r w:rsidR="00A97A28">
        <w:rPr>
          <w:rFonts w:cs="Arial"/>
        </w:rPr>
        <w:tab/>
        <w:t>All procurement arising from the recommendations set out in this report will be undertaken with the support of the procurement team and compliant with procurement contract regulations 2015 and the Contract Procedure Rules. There will also be a focus through the procurement to deliver benefits into the borough and environmental considerations.</w:t>
      </w:r>
    </w:p>
    <w:p w14:paraId="6B74F829" w14:textId="77777777" w:rsidR="00A97A28" w:rsidRDefault="00A97A28" w:rsidP="00F55B78">
      <w:pPr>
        <w:ind w:left="709" w:hanging="709"/>
        <w:rPr>
          <w:rFonts w:cs="Arial"/>
        </w:rPr>
      </w:pPr>
    </w:p>
    <w:p w14:paraId="7839D4B4" w14:textId="3384BAA3" w:rsidR="00A97A28" w:rsidRDefault="00A97A28" w:rsidP="00F55B78">
      <w:pPr>
        <w:ind w:left="709" w:hanging="709"/>
        <w:rPr>
          <w:rFonts w:cs="Arial"/>
        </w:rPr>
      </w:pPr>
      <w:r>
        <w:rPr>
          <w:rFonts w:cs="Arial"/>
        </w:rPr>
        <w:t>7.2</w:t>
      </w:r>
      <w:r>
        <w:rPr>
          <w:rFonts w:cs="Arial"/>
        </w:rPr>
        <w:tab/>
        <w:t xml:space="preserve">Each procurement project associated with the Asset Management Strategy will need to comply with the internal governance process </w:t>
      </w:r>
      <w:r>
        <w:rPr>
          <w:rFonts w:cs="Arial"/>
        </w:rPr>
        <w:lastRenderedPageBreak/>
        <w:t>before commencement of a procurement can begin</w:t>
      </w:r>
      <w:r w:rsidR="008D577D">
        <w:rPr>
          <w:rFonts w:cs="Arial"/>
        </w:rPr>
        <w:t xml:space="preserve"> or an award of contract be made.</w:t>
      </w:r>
      <w:r>
        <w:rPr>
          <w:rFonts w:cs="Arial"/>
        </w:rPr>
        <w:t xml:space="preserve">   </w:t>
      </w:r>
      <w:r w:rsidR="00153D50">
        <w:rPr>
          <w:rFonts w:cs="Arial"/>
        </w:rPr>
        <w:t xml:space="preserve">     </w:t>
      </w:r>
    </w:p>
    <w:p w14:paraId="2B5698DC" w14:textId="77777777" w:rsidR="00A97A28" w:rsidRDefault="00A97A28" w:rsidP="00F55B78">
      <w:pPr>
        <w:ind w:left="709" w:hanging="709"/>
        <w:rPr>
          <w:rFonts w:cs="Arial"/>
        </w:rPr>
      </w:pPr>
    </w:p>
    <w:p w14:paraId="1884DEFD" w14:textId="14A066E5" w:rsidR="00685FB3" w:rsidRDefault="00A97A28" w:rsidP="00F55B78">
      <w:pPr>
        <w:ind w:left="709" w:hanging="709"/>
      </w:pPr>
      <w:r>
        <w:rPr>
          <w:rFonts w:cs="Arial"/>
        </w:rPr>
        <w:t>7.</w:t>
      </w:r>
      <w:r w:rsidR="008D577D">
        <w:rPr>
          <w:rFonts w:cs="Arial"/>
        </w:rPr>
        <w:t>3</w:t>
      </w:r>
      <w:r>
        <w:rPr>
          <w:rFonts w:cs="Arial"/>
        </w:rPr>
        <w:tab/>
      </w:r>
      <w:r w:rsidR="00F55B78">
        <w:rPr>
          <w:rFonts w:cs="Arial"/>
        </w:rPr>
        <w:t xml:space="preserve">A </w:t>
      </w:r>
      <w:r w:rsidR="00715F1F">
        <w:rPr>
          <w:rFonts w:cs="Arial"/>
        </w:rPr>
        <w:t xml:space="preserve">3 year-plan </w:t>
      </w:r>
      <w:r w:rsidR="00F55B78">
        <w:rPr>
          <w:rFonts w:cs="Arial"/>
        </w:rPr>
        <w:t xml:space="preserve">is being developed in line with the revision of the HRA Business Plan currently in progress. This will provide </w:t>
      </w:r>
      <w:r w:rsidR="00715F1F">
        <w:rPr>
          <w:rFonts w:cs="Arial"/>
        </w:rPr>
        <w:t>the basis for a more</w:t>
      </w:r>
      <w:r w:rsidR="00EE5EA9" w:rsidRPr="00CF0C4B">
        <w:rPr>
          <w:rFonts w:cs="Arial"/>
        </w:rPr>
        <w:t xml:space="preserve"> competitive tender process for </w:t>
      </w:r>
      <w:r w:rsidR="00715F1F">
        <w:rPr>
          <w:rFonts w:cs="Arial"/>
        </w:rPr>
        <w:t>partner contractors</w:t>
      </w:r>
      <w:r w:rsidR="00EE5EA9" w:rsidRPr="00CF0C4B">
        <w:rPr>
          <w:rFonts w:cs="Arial"/>
        </w:rPr>
        <w:t xml:space="preserve"> to </w:t>
      </w:r>
      <w:r w:rsidR="00A00FCF">
        <w:rPr>
          <w:rFonts w:cs="Arial"/>
        </w:rPr>
        <w:t xml:space="preserve">help deliver </w:t>
      </w:r>
      <w:r w:rsidR="00715F1F">
        <w:rPr>
          <w:rFonts w:cs="Arial"/>
        </w:rPr>
        <w:t>projects</w:t>
      </w:r>
      <w:r w:rsidR="00EE5EA9" w:rsidRPr="00CF0C4B">
        <w:rPr>
          <w:rFonts w:cs="Arial"/>
        </w:rPr>
        <w:t xml:space="preserve"> on behalf of the </w:t>
      </w:r>
      <w:r w:rsidR="00052A71">
        <w:rPr>
          <w:rFonts w:cs="Arial"/>
        </w:rPr>
        <w:t>council</w:t>
      </w:r>
      <w:r w:rsidR="00EE5EA9" w:rsidRPr="00CF0C4B">
        <w:rPr>
          <w:rFonts w:cs="Arial"/>
        </w:rPr>
        <w:t xml:space="preserve">. </w:t>
      </w:r>
    </w:p>
    <w:p w14:paraId="31E168CA" w14:textId="62ADF945" w:rsidR="00EE5EA9" w:rsidRPr="00CF0C4B" w:rsidRDefault="00EE5EA9" w:rsidP="00F55B78">
      <w:pPr>
        <w:ind w:left="720" w:hanging="720"/>
        <w:rPr>
          <w:rFonts w:cs="Arial"/>
        </w:rPr>
      </w:pPr>
    </w:p>
    <w:p w14:paraId="090B8AB0" w14:textId="4162D0D9" w:rsidR="00EE5EA9" w:rsidRDefault="00113ED9" w:rsidP="00F55B78">
      <w:pPr>
        <w:ind w:left="720" w:hanging="720"/>
      </w:pPr>
      <w:r>
        <w:t>7.</w:t>
      </w:r>
      <w:r w:rsidR="008D577D">
        <w:t>4</w:t>
      </w:r>
      <w:r w:rsidR="006879CC">
        <w:tab/>
      </w:r>
      <w:r w:rsidR="006C6F72">
        <w:t>T</w:t>
      </w:r>
      <w:r w:rsidR="00EE5EA9">
        <w:t xml:space="preserve">ender </w:t>
      </w:r>
      <w:r w:rsidR="00E30827">
        <w:t>and procurement process</w:t>
      </w:r>
      <w:r w:rsidR="006C6F72">
        <w:t>es</w:t>
      </w:r>
      <w:r w:rsidR="00E30827">
        <w:t xml:space="preserve"> will </w:t>
      </w:r>
      <w:r w:rsidR="00EE5EA9">
        <w:t xml:space="preserve">seek to deliver opportunities for local businesses to take on additional work and set foundations for new employment opportunities over the longer term. </w:t>
      </w:r>
      <w:r w:rsidR="007C456E" w:rsidRPr="00CE436B">
        <w:t xml:space="preserve">Where </w:t>
      </w:r>
      <w:r w:rsidR="002C72D4">
        <w:t>the successful project tenderer uses a supply chain,</w:t>
      </w:r>
      <w:r w:rsidR="007C456E">
        <w:t xml:space="preserve"> </w:t>
      </w:r>
      <w:r w:rsidR="007C456E" w:rsidRPr="00CE436B">
        <w:t xml:space="preserve">they will be encouraged to use local SMEs to undertake the </w:t>
      </w:r>
      <w:r w:rsidR="0093625D">
        <w:t>w</w:t>
      </w:r>
      <w:r w:rsidR="007C456E" w:rsidRPr="00CE436B">
        <w:t>orks</w:t>
      </w:r>
      <w:r w:rsidR="007C456E">
        <w:t>.</w:t>
      </w:r>
    </w:p>
    <w:p w14:paraId="44413A6E" w14:textId="50AA05A3" w:rsidR="00333FAA" w:rsidRDefault="00113ED9" w:rsidP="00F55B78">
      <w:pPr>
        <w:pStyle w:val="Heading3"/>
        <w:spacing w:before="480" w:after="240"/>
        <w:jc w:val="left"/>
      </w:pPr>
      <w:r>
        <w:t>8</w:t>
      </w:r>
      <w:r w:rsidR="00E52D42">
        <w:t>.</w:t>
      </w:r>
      <w:r>
        <w:t>0</w:t>
      </w:r>
      <w:r w:rsidR="006879CC">
        <w:tab/>
      </w:r>
      <w:r w:rsidR="00333FAA">
        <w:t>Legal Implications</w:t>
      </w:r>
    </w:p>
    <w:p w14:paraId="63CFE6A0" w14:textId="7453F1AC" w:rsidR="00A90D5E" w:rsidRDefault="000275FC" w:rsidP="00116CED">
      <w:pPr>
        <w:ind w:left="720" w:hanging="720"/>
      </w:pPr>
      <w:r>
        <w:t xml:space="preserve">8.1 </w:t>
      </w:r>
      <w:r>
        <w:tab/>
      </w:r>
      <w:r w:rsidR="00A90D5E">
        <w:t xml:space="preserve">The council </w:t>
      </w:r>
      <w:r w:rsidR="00FF2690">
        <w:t xml:space="preserve">has </w:t>
      </w:r>
      <w:r w:rsidR="00326B73">
        <w:t xml:space="preserve">various statutory powers and duties </w:t>
      </w:r>
      <w:r w:rsidR="00845FF4">
        <w:t xml:space="preserve">in relation to the </w:t>
      </w:r>
      <w:r w:rsidR="005279ED">
        <w:t xml:space="preserve">development, </w:t>
      </w:r>
      <w:r w:rsidR="00FC6B2B">
        <w:t>provision,</w:t>
      </w:r>
      <w:r w:rsidR="00326B73">
        <w:t xml:space="preserve"> and </w:t>
      </w:r>
      <w:r w:rsidR="00071792">
        <w:t xml:space="preserve">maintenance of </w:t>
      </w:r>
      <w:r w:rsidR="00326B73">
        <w:t xml:space="preserve">housing </w:t>
      </w:r>
      <w:r w:rsidR="00EE64ED">
        <w:t>and related matters, including</w:t>
      </w:r>
      <w:r w:rsidR="001A3191">
        <w:t xml:space="preserve"> pursuant to</w:t>
      </w:r>
      <w:r w:rsidR="00EE64ED">
        <w:t>:</w:t>
      </w:r>
    </w:p>
    <w:p w14:paraId="52885D7F" w14:textId="77777777" w:rsidR="001A3191" w:rsidRDefault="001A3191" w:rsidP="0093625D"/>
    <w:p w14:paraId="20EB6D61" w14:textId="51367A59" w:rsidR="00EE64ED" w:rsidRDefault="00EE64ED" w:rsidP="0093625D">
      <w:r>
        <w:t>8.1.1</w:t>
      </w:r>
      <w:r>
        <w:tab/>
      </w:r>
      <w:r w:rsidRPr="00EE64ED">
        <w:t>Housing Act 1985</w:t>
      </w:r>
    </w:p>
    <w:p w14:paraId="49186810" w14:textId="6668EB36" w:rsidR="00EE64ED" w:rsidRDefault="00EE64ED" w:rsidP="0093625D">
      <w:r>
        <w:t>8.1.2</w:t>
      </w:r>
      <w:r>
        <w:tab/>
      </w:r>
      <w:r w:rsidR="000120C4" w:rsidRPr="000120C4">
        <w:t>Housing Act 1996</w:t>
      </w:r>
    </w:p>
    <w:p w14:paraId="62146848" w14:textId="6992348B" w:rsidR="00C4528E" w:rsidRDefault="00C4528E" w:rsidP="0093625D">
      <w:r>
        <w:t>8.1.3</w:t>
      </w:r>
      <w:r>
        <w:tab/>
      </w:r>
      <w:r w:rsidRPr="00C4528E">
        <w:t>Housing Act 2004</w:t>
      </w:r>
    </w:p>
    <w:p w14:paraId="28F6A020" w14:textId="0AE4EAAE" w:rsidR="000474F7" w:rsidRDefault="000474F7" w:rsidP="0093625D">
      <w:r>
        <w:t>8.1.</w:t>
      </w:r>
      <w:r w:rsidR="00527A38">
        <w:t>4</w:t>
      </w:r>
      <w:r w:rsidR="00527A38">
        <w:tab/>
      </w:r>
      <w:r w:rsidR="00527A38" w:rsidRPr="00527A38">
        <w:t>Housing and Regeneration Act 2008</w:t>
      </w:r>
    </w:p>
    <w:p w14:paraId="0995C5E2" w14:textId="113C800C" w:rsidR="00071792" w:rsidRDefault="00071792" w:rsidP="0093625D">
      <w:r>
        <w:t>8.1.</w:t>
      </w:r>
      <w:r w:rsidR="00EC6E62">
        <w:t>5</w:t>
      </w:r>
      <w:r>
        <w:tab/>
        <w:t xml:space="preserve">The </w:t>
      </w:r>
      <w:r w:rsidR="005279ED" w:rsidRPr="005279ED">
        <w:t>Landlord and Tenant Act 1985 (as amended</w:t>
      </w:r>
      <w:r w:rsidR="0033519B">
        <w:t>)</w:t>
      </w:r>
    </w:p>
    <w:p w14:paraId="2FD1CA52" w14:textId="4CEBFCA4" w:rsidR="00F146EA" w:rsidRDefault="00096488" w:rsidP="0093625D">
      <w:r>
        <w:t>8.1.</w:t>
      </w:r>
      <w:r w:rsidR="00EC6E62">
        <w:t>6</w:t>
      </w:r>
      <w:r>
        <w:tab/>
      </w:r>
      <w:r w:rsidR="00F146EA">
        <w:t xml:space="preserve">The Town &amp; Country Planning Act </w:t>
      </w:r>
      <w:r>
        <w:t>1990</w:t>
      </w:r>
    </w:p>
    <w:p w14:paraId="5BECFCDB" w14:textId="19C32E41" w:rsidR="000120C4" w:rsidRDefault="00A50AF2" w:rsidP="0093625D">
      <w:r>
        <w:t>8.1</w:t>
      </w:r>
      <w:r w:rsidR="00791509">
        <w:t>.</w:t>
      </w:r>
      <w:r w:rsidR="00EC6E62">
        <w:t>7</w:t>
      </w:r>
      <w:r>
        <w:tab/>
      </w:r>
      <w:r w:rsidR="00177098" w:rsidRPr="00177098">
        <w:t xml:space="preserve">The General Power of Competence </w:t>
      </w:r>
      <w:r w:rsidR="00177098">
        <w:t>under</w:t>
      </w:r>
      <w:r w:rsidR="00177098" w:rsidRPr="00177098">
        <w:t xml:space="preserve"> the Localism Act 2011</w:t>
      </w:r>
    </w:p>
    <w:p w14:paraId="73DAD6F4" w14:textId="790C60E6" w:rsidR="000D7857" w:rsidRDefault="00177098" w:rsidP="00116CED">
      <w:pPr>
        <w:ind w:left="720" w:hanging="720"/>
      </w:pPr>
      <w:r>
        <w:t>8.</w:t>
      </w:r>
      <w:r w:rsidR="00791509">
        <w:t>1</w:t>
      </w:r>
      <w:r>
        <w:t>.</w:t>
      </w:r>
      <w:r w:rsidR="00EC6E62">
        <w:t>8</w:t>
      </w:r>
      <w:r>
        <w:tab/>
      </w:r>
      <w:r w:rsidR="000D7857">
        <w:t xml:space="preserve">Section 111(1) of the Local Government Act 1972 which gives a local authority the power to do anything (whether or not involving the expenditure, borrowing or lending of money or the acquisition or disposal of any property or rights) which is calculated to facilitate, or is conducive or incidental to, the discharge of any of their functions.   </w:t>
      </w:r>
    </w:p>
    <w:p w14:paraId="24542ADB" w14:textId="7CE7FB9C" w:rsidR="00791509" w:rsidRDefault="00791509" w:rsidP="000D7857"/>
    <w:p w14:paraId="6AAC793E" w14:textId="068FB238" w:rsidR="00791509" w:rsidRDefault="00791509" w:rsidP="00621AEE">
      <w:pPr>
        <w:ind w:left="720" w:hanging="720"/>
      </w:pPr>
      <w:r>
        <w:t>8.2</w:t>
      </w:r>
      <w:r>
        <w:tab/>
        <w:t xml:space="preserve">All </w:t>
      </w:r>
      <w:r w:rsidR="004738E4">
        <w:t>procurement relating to the implementation of the Asset Management Strategy must comply with The Public Contracts Regulations 2015 and the council’s Contract Procedure Rules.</w:t>
      </w:r>
    </w:p>
    <w:p w14:paraId="38CD013F" w14:textId="0388DC88" w:rsidR="00C40CCF" w:rsidRPr="009117F2" w:rsidRDefault="00C40CCF" w:rsidP="00621AEE">
      <w:pPr>
        <w:pStyle w:val="Heading3"/>
        <w:spacing w:before="480" w:after="240"/>
        <w:ind w:left="0" w:firstLine="0"/>
        <w:jc w:val="left"/>
      </w:pPr>
      <w:bookmarkStart w:id="1" w:name="_Hlk110416673"/>
      <w:r>
        <w:t>9.0</w:t>
      </w:r>
      <w:r w:rsidR="000275FC">
        <w:tab/>
      </w:r>
      <w:r>
        <w:t>Financial Implications</w:t>
      </w:r>
    </w:p>
    <w:p w14:paraId="55472F25" w14:textId="5298E075" w:rsidR="00C40CCF" w:rsidRDefault="2A35AC75" w:rsidP="00F55B78">
      <w:pPr>
        <w:ind w:left="720"/>
        <w:rPr>
          <w:rFonts w:cs="Arial"/>
          <w:lang w:val="en-US"/>
        </w:rPr>
      </w:pPr>
      <w:r w:rsidRPr="407C6527">
        <w:rPr>
          <w:rFonts w:cs="Arial"/>
          <w:lang w:val="en-US"/>
        </w:rPr>
        <w:t>The HRA Budget and Medium</w:t>
      </w:r>
      <w:r w:rsidR="000275FC">
        <w:rPr>
          <w:rFonts w:cs="Arial"/>
          <w:lang w:val="en-US"/>
        </w:rPr>
        <w:t>-</w:t>
      </w:r>
      <w:r w:rsidRPr="407C6527">
        <w:rPr>
          <w:rFonts w:cs="Arial"/>
          <w:lang w:val="en-US"/>
        </w:rPr>
        <w:t xml:space="preserve">Term Financial Strategy for 2022/23 was approved in February 2022 and funded £10.273m of planned maintenance expenditure for three years and £9.273m for two years.   </w:t>
      </w:r>
      <w:r w:rsidR="2F5240FF" w:rsidRPr="407C6527">
        <w:rPr>
          <w:rFonts w:cs="Arial"/>
          <w:lang w:val="en-US"/>
        </w:rPr>
        <w:t xml:space="preserve">  The HRA revenue budget also factored in £400k for a Planned Preventative Maintenance Programme</w:t>
      </w:r>
      <w:r w:rsidR="000275FC">
        <w:rPr>
          <w:rFonts w:cs="Arial"/>
          <w:lang w:val="en-US"/>
        </w:rPr>
        <w:t>.</w:t>
      </w:r>
    </w:p>
    <w:p w14:paraId="04813F1B" w14:textId="5D6AA9FE" w:rsidR="00C40CCF" w:rsidRDefault="00C40CCF" w:rsidP="00F55B78">
      <w:pPr>
        <w:ind w:left="720"/>
        <w:rPr>
          <w:rFonts w:cs="Arial"/>
          <w:lang w:val="en-US"/>
        </w:rPr>
      </w:pPr>
    </w:p>
    <w:p w14:paraId="1B19DF6D" w14:textId="4E3465DB" w:rsidR="00C40CCF" w:rsidRDefault="425BF225" w:rsidP="00F55B78">
      <w:pPr>
        <w:ind w:left="720"/>
        <w:rPr>
          <w:rFonts w:cs="Arial"/>
          <w:lang w:val="en-US"/>
        </w:rPr>
      </w:pPr>
      <w:r w:rsidRPr="407C6527">
        <w:rPr>
          <w:rFonts w:cs="Arial"/>
          <w:lang w:val="en-US"/>
        </w:rPr>
        <w:t>The below table</w:t>
      </w:r>
      <w:r w:rsidR="7BA66891" w:rsidRPr="407C6527">
        <w:rPr>
          <w:rFonts w:cs="Arial"/>
          <w:lang w:val="en-US"/>
        </w:rPr>
        <w:t xml:space="preserve"> provides the summary </w:t>
      </w:r>
      <w:r w:rsidR="5D1D82AA" w:rsidRPr="407C6527">
        <w:rPr>
          <w:rFonts w:cs="Arial"/>
          <w:lang w:val="en-US"/>
        </w:rPr>
        <w:t xml:space="preserve">of the current </w:t>
      </w:r>
      <w:r w:rsidR="00C75D6D" w:rsidRPr="407C6527">
        <w:rPr>
          <w:rFonts w:cs="Arial"/>
          <w:lang w:val="en-US"/>
        </w:rPr>
        <w:t>resources available</w:t>
      </w:r>
      <w:r w:rsidR="5D1D82AA" w:rsidRPr="407C6527">
        <w:rPr>
          <w:rFonts w:cs="Arial"/>
          <w:lang w:val="en-US"/>
        </w:rPr>
        <w:t xml:space="preserve"> to finance the entire </w:t>
      </w:r>
      <w:r w:rsidR="775E9908" w:rsidRPr="407C6527">
        <w:rPr>
          <w:rFonts w:cs="Arial"/>
          <w:lang w:val="en-US"/>
        </w:rPr>
        <w:t>3-year</w:t>
      </w:r>
      <w:r w:rsidR="5D1D82AA" w:rsidRPr="407C6527">
        <w:rPr>
          <w:rFonts w:cs="Arial"/>
          <w:lang w:val="en-US"/>
        </w:rPr>
        <w:t xml:space="preserve"> programme including PPM</w:t>
      </w:r>
      <w:r w:rsidR="000275FC">
        <w:rPr>
          <w:rFonts w:cs="Arial"/>
          <w:lang w:val="en-US"/>
        </w:rPr>
        <w:t>.</w:t>
      </w:r>
      <w:r w:rsidR="5D1D82AA" w:rsidRPr="407C6527">
        <w:rPr>
          <w:rFonts w:cs="Arial"/>
          <w:lang w:val="en-US"/>
        </w:rPr>
        <w:t xml:space="preserve"> </w:t>
      </w:r>
    </w:p>
    <w:p w14:paraId="7CB09062" w14:textId="4EB7F6D7" w:rsidR="00C40CCF" w:rsidRDefault="00C40CCF" w:rsidP="00F55B78">
      <w:pPr>
        <w:ind w:left="720"/>
        <w:rPr>
          <w:szCs w:val="24"/>
          <w:lang w:val="en-US"/>
        </w:rPr>
      </w:pPr>
    </w:p>
    <w:p w14:paraId="2BB599A4" w14:textId="4B346E9B" w:rsidR="00C40CCF" w:rsidRDefault="228D795E" w:rsidP="00F55B78">
      <w:pPr>
        <w:ind w:left="720"/>
        <w:rPr>
          <w:rFonts w:cs="Arial"/>
          <w:lang w:val="en-US"/>
        </w:rPr>
      </w:pPr>
      <w:r w:rsidRPr="407C6527">
        <w:rPr>
          <w:rFonts w:cs="Arial"/>
          <w:lang w:val="en-US"/>
        </w:rPr>
        <w:t>On-going</w:t>
      </w:r>
      <w:r w:rsidR="62731F95" w:rsidRPr="407C6527">
        <w:rPr>
          <w:rFonts w:cs="Arial"/>
          <w:lang w:val="en-US"/>
        </w:rPr>
        <w:t xml:space="preserve"> planning and appraisal will continue with future years programming</w:t>
      </w:r>
      <w:r w:rsidR="31A2C726" w:rsidRPr="407C6527">
        <w:rPr>
          <w:rFonts w:cs="Arial"/>
          <w:lang w:val="en-US"/>
        </w:rPr>
        <w:t>, with the requirement to bring-forward works as and when required.</w:t>
      </w:r>
    </w:p>
    <w:tbl>
      <w:tblPr>
        <w:tblStyle w:val="TableGrid"/>
        <w:tblW w:w="8637" w:type="dxa"/>
        <w:tblLayout w:type="fixed"/>
        <w:tblLook w:val="06A0" w:firstRow="1" w:lastRow="0" w:firstColumn="1" w:lastColumn="0" w:noHBand="1" w:noVBand="1"/>
      </w:tblPr>
      <w:tblGrid>
        <w:gridCol w:w="1830"/>
        <w:gridCol w:w="1155"/>
        <w:gridCol w:w="960"/>
        <w:gridCol w:w="1320"/>
        <w:gridCol w:w="1065"/>
        <w:gridCol w:w="1065"/>
        <w:gridCol w:w="1242"/>
      </w:tblGrid>
      <w:tr w:rsidR="407C6527" w14:paraId="1E597CBC" w14:textId="77777777" w:rsidTr="00621AEE">
        <w:trPr>
          <w:trHeight w:val="832"/>
        </w:trPr>
        <w:tc>
          <w:tcPr>
            <w:tcW w:w="1830" w:type="dxa"/>
            <w:vMerge w:val="restart"/>
            <w:tcBorders>
              <w:top w:val="single" w:sz="8" w:space="0" w:color="auto"/>
              <w:left w:val="single" w:sz="8" w:space="0" w:color="auto"/>
              <w:bottom w:val="single" w:sz="8" w:space="0" w:color="000000" w:themeColor="text1"/>
              <w:right w:val="single" w:sz="8" w:space="0" w:color="auto"/>
            </w:tcBorders>
            <w:vAlign w:val="center"/>
          </w:tcPr>
          <w:bookmarkEnd w:id="1"/>
          <w:p w14:paraId="56D5D03E" w14:textId="0FAFE8F7" w:rsidR="407C6527" w:rsidRDefault="407C6527" w:rsidP="00F55B78">
            <w:r w:rsidRPr="407C6527">
              <w:rPr>
                <w:rFonts w:ascii="Calibri" w:eastAsia="Calibri" w:hAnsi="Calibri" w:cs="Calibri"/>
                <w:b/>
                <w:bCs/>
                <w:color w:val="000000" w:themeColor="text1"/>
                <w:sz w:val="20"/>
              </w:rPr>
              <w:lastRenderedPageBreak/>
              <w:t>Budget Description including additions / re-profiling (£)</w:t>
            </w:r>
          </w:p>
        </w:tc>
        <w:tc>
          <w:tcPr>
            <w:tcW w:w="3435" w:type="dxa"/>
            <w:gridSpan w:val="3"/>
            <w:tcBorders>
              <w:top w:val="single" w:sz="8" w:space="0" w:color="auto"/>
              <w:left w:val="single" w:sz="8" w:space="0" w:color="auto"/>
              <w:bottom w:val="single" w:sz="8" w:space="0" w:color="auto"/>
              <w:right w:val="single" w:sz="8" w:space="0" w:color="000000" w:themeColor="text1"/>
            </w:tcBorders>
            <w:vAlign w:val="center"/>
          </w:tcPr>
          <w:p w14:paraId="10D19D2F" w14:textId="2CA2D890"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 xml:space="preserve"> </w:t>
            </w:r>
          </w:p>
        </w:tc>
        <w:tc>
          <w:tcPr>
            <w:tcW w:w="2130" w:type="dxa"/>
            <w:gridSpan w:val="2"/>
            <w:tcBorders>
              <w:top w:val="single" w:sz="8" w:space="0" w:color="auto"/>
              <w:left w:val="nil"/>
              <w:bottom w:val="single" w:sz="8" w:space="0" w:color="auto"/>
              <w:right w:val="single" w:sz="8" w:space="0" w:color="000000" w:themeColor="text1"/>
            </w:tcBorders>
            <w:vAlign w:val="center"/>
          </w:tcPr>
          <w:p w14:paraId="0D3FC9F7" w14:textId="2DAA5000"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Additional</w:t>
            </w:r>
          </w:p>
        </w:tc>
        <w:tc>
          <w:tcPr>
            <w:tcW w:w="1242" w:type="dxa"/>
            <w:tcBorders>
              <w:top w:val="single" w:sz="8" w:space="0" w:color="auto"/>
              <w:left w:val="nil"/>
              <w:bottom w:val="single" w:sz="8" w:space="0" w:color="auto"/>
              <w:right w:val="single" w:sz="8" w:space="0" w:color="auto"/>
            </w:tcBorders>
            <w:vAlign w:val="center"/>
          </w:tcPr>
          <w:p w14:paraId="754AC928" w14:textId="155879F8"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Total</w:t>
            </w:r>
          </w:p>
        </w:tc>
      </w:tr>
      <w:tr w:rsidR="00685A1F" w14:paraId="79D14DB5" w14:textId="77777777" w:rsidTr="00621AEE">
        <w:trPr>
          <w:trHeight w:val="832"/>
        </w:trPr>
        <w:tc>
          <w:tcPr>
            <w:tcW w:w="1830" w:type="dxa"/>
            <w:vMerge/>
            <w:tcBorders>
              <w:left w:val="single" w:sz="0" w:space="0" w:color="auto"/>
              <w:bottom w:val="single" w:sz="0" w:space="0" w:color="000000" w:themeColor="text1"/>
              <w:right w:val="single" w:sz="0" w:space="0" w:color="auto"/>
            </w:tcBorders>
            <w:vAlign w:val="center"/>
          </w:tcPr>
          <w:p w14:paraId="564C127E" w14:textId="77777777" w:rsidR="008D5820" w:rsidRDefault="008D5820" w:rsidP="00F55B78"/>
        </w:tc>
        <w:tc>
          <w:tcPr>
            <w:tcW w:w="1155" w:type="dxa"/>
            <w:tcBorders>
              <w:top w:val="single" w:sz="8" w:space="0" w:color="auto"/>
              <w:left w:val="nil"/>
              <w:bottom w:val="single" w:sz="8" w:space="0" w:color="auto"/>
              <w:right w:val="single" w:sz="8" w:space="0" w:color="000000" w:themeColor="text1"/>
            </w:tcBorders>
            <w:vAlign w:val="center"/>
          </w:tcPr>
          <w:p w14:paraId="3FEDC4DB" w14:textId="6D064AEB"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2022-23</w:t>
            </w:r>
          </w:p>
        </w:tc>
        <w:tc>
          <w:tcPr>
            <w:tcW w:w="960" w:type="dxa"/>
            <w:tcBorders>
              <w:top w:val="nil"/>
              <w:left w:val="single" w:sz="8" w:space="0" w:color="auto"/>
              <w:bottom w:val="single" w:sz="8" w:space="0" w:color="auto"/>
              <w:right w:val="single" w:sz="8" w:space="0" w:color="auto"/>
            </w:tcBorders>
            <w:vAlign w:val="center"/>
          </w:tcPr>
          <w:p w14:paraId="6DD41CBA" w14:textId="49B54E53"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2023-24</w:t>
            </w:r>
          </w:p>
        </w:tc>
        <w:tc>
          <w:tcPr>
            <w:tcW w:w="1320" w:type="dxa"/>
            <w:tcBorders>
              <w:top w:val="nil"/>
              <w:left w:val="single" w:sz="8" w:space="0" w:color="auto"/>
              <w:bottom w:val="single" w:sz="8" w:space="0" w:color="auto"/>
              <w:right w:val="single" w:sz="8" w:space="0" w:color="000000" w:themeColor="text1"/>
            </w:tcBorders>
            <w:vAlign w:val="center"/>
          </w:tcPr>
          <w:p w14:paraId="1D5AE44A" w14:textId="33611E72"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2024-25</w:t>
            </w:r>
          </w:p>
        </w:tc>
        <w:tc>
          <w:tcPr>
            <w:tcW w:w="1065" w:type="dxa"/>
            <w:tcBorders>
              <w:top w:val="single" w:sz="8" w:space="0" w:color="auto"/>
              <w:left w:val="single" w:sz="8" w:space="0" w:color="auto"/>
              <w:bottom w:val="single" w:sz="8" w:space="0" w:color="auto"/>
              <w:right w:val="single" w:sz="8" w:space="0" w:color="000000" w:themeColor="text1"/>
            </w:tcBorders>
            <w:vAlign w:val="center"/>
          </w:tcPr>
          <w:p w14:paraId="799862FF" w14:textId="0D7C57E4"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2025-26</w:t>
            </w:r>
          </w:p>
        </w:tc>
        <w:tc>
          <w:tcPr>
            <w:tcW w:w="1065" w:type="dxa"/>
            <w:tcBorders>
              <w:top w:val="nil"/>
              <w:left w:val="single" w:sz="8" w:space="0" w:color="auto"/>
              <w:bottom w:val="single" w:sz="8" w:space="0" w:color="auto"/>
              <w:right w:val="single" w:sz="8" w:space="0" w:color="000000" w:themeColor="text1"/>
            </w:tcBorders>
            <w:vAlign w:val="center"/>
          </w:tcPr>
          <w:p w14:paraId="7BF748D6" w14:textId="73D4C4C1"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2026-27</w:t>
            </w:r>
          </w:p>
        </w:tc>
        <w:tc>
          <w:tcPr>
            <w:tcW w:w="1242" w:type="dxa"/>
            <w:tcBorders>
              <w:top w:val="single" w:sz="8" w:space="0" w:color="auto"/>
              <w:left w:val="single" w:sz="8" w:space="0" w:color="auto"/>
              <w:bottom w:val="single" w:sz="8" w:space="0" w:color="auto"/>
              <w:right w:val="single" w:sz="8" w:space="0" w:color="auto"/>
            </w:tcBorders>
            <w:vAlign w:val="center"/>
          </w:tcPr>
          <w:p w14:paraId="3C8B103A" w14:textId="2FEA413E"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Cumulative</w:t>
            </w:r>
          </w:p>
        </w:tc>
      </w:tr>
      <w:tr w:rsidR="407C6527" w14:paraId="0EC686D3" w14:textId="77777777" w:rsidTr="00621AEE">
        <w:trPr>
          <w:trHeight w:val="832"/>
        </w:trPr>
        <w:tc>
          <w:tcPr>
            <w:tcW w:w="1830" w:type="dxa"/>
            <w:tcBorders>
              <w:top w:val="nil"/>
              <w:left w:val="single" w:sz="8" w:space="0" w:color="auto"/>
              <w:bottom w:val="single" w:sz="8" w:space="0" w:color="auto"/>
              <w:right w:val="single" w:sz="8" w:space="0" w:color="auto"/>
            </w:tcBorders>
            <w:vAlign w:val="center"/>
          </w:tcPr>
          <w:p w14:paraId="25F69470" w14:textId="5008034F" w:rsidR="407C6527" w:rsidRDefault="407C6527" w:rsidP="00F55B78">
            <w:r w:rsidRPr="407C6527">
              <w:rPr>
                <w:rFonts w:ascii="Calibri" w:eastAsia="Calibri" w:hAnsi="Calibri" w:cs="Calibri"/>
                <w:color w:val="000000" w:themeColor="text1"/>
                <w:sz w:val="20"/>
              </w:rPr>
              <w:t xml:space="preserve">Main Programme </w:t>
            </w:r>
          </w:p>
        </w:tc>
        <w:tc>
          <w:tcPr>
            <w:tcW w:w="1155" w:type="dxa"/>
            <w:tcBorders>
              <w:top w:val="single" w:sz="8" w:space="0" w:color="auto"/>
              <w:left w:val="single" w:sz="8" w:space="0" w:color="auto"/>
              <w:bottom w:val="single" w:sz="8" w:space="0" w:color="auto"/>
              <w:right w:val="single" w:sz="8" w:space="0" w:color="auto"/>
            </w:tcBorders>
            <w:vAlign w:val="center"/>
          </w:tcPr>
          <w:p w14:paraId="25D19905" w14:textId="344DA3FC"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8,428,048</w:t>
            </w:r>
          </w:p>
        </w:tc>
        <w:tc>
          <w:tcPr>
            <w:tcW w:w="960" w:type="dxa"/>
            <w:tcBorders>
              <w:top w:val="single" w:sz="8" w:space="0" w:color="auto"/>
              <w:left w:val="single" w:sz="8" w:space="0" w:color="auto"/>
              <w:bottom w:val="single" w:sz="8" w:space="0" w:color="auto"/>
              <w:right w:val="single" w:sz="8" w:space="0" w:color="auto"/>
            </w:tcBorders>
            <w:vAlign w:val="center"/>
          </w:tcPr>
          <w:p w14:paraId="23195EEE" w14:textId="49BC11CA"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8,428,048</w:t>
            </w:r>
          </w:p>
        </w:tc>
        <w:tc>
          <w:tcPr>
            <w:tcW w:w="1320" w:type="dxa"/>
            <w:tcBorders>
              <w:top w:val="single" w:sz="8" w:space="0" w:color="auto"/>
              <w:left w:val="single" w:sz="8" w:space="0" w:color="auto"/>
              <w:bottom w:val="single" w:sz="8" w:space="0" w:color="auto"/>
              <w:right w:val="single" w:sz="8" w:space="0" w:color="auto"/>
            </w:tcBorders>
            <w:vAlign w:val="center"/>
          </w:tcPr>
          <w:p w14:paraId="28E2819A" w14:textId="022EB6C5"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8,428,048</w:t>
            </w:r>
          </w:p>
        </w:tc>
        <w:tc>
          <w:tcPr>
            <w:tcW w:w="1065" w:type="dxa"/>
            <w:tcBorders>
              <w:top w:val="single" w:sz="8" w:space="0" w:color="auto"/>
              <w:left w:val="single" w:sz="8" w:space="0" w:color="auto"/>
              <w:bottom w:val="single" w:sz="8" w:space="0" w:color="auto"/>
              <w:right w:val="single" w:sz="8" w:space="0" w:color="auto"/>
            </w:tcBorders>
            <w:vAlign w:val="center"/>
          </w:tcPr>
          <w:p w14:paraId="7A614B6E" w14:textId="450BD1D9"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8,428,048</w:t>
            </w:r>
          </w:p>
        </w:tc>
        <w:tc>
          <w:tcPr>
            <w:tcW w:w="1065" w:type="dxa"/>
            <w:tcBorders>
              <w:top w:val="single" w:sz="8" w:space="0" w:color="auto"/>
              <w:left w:val="single" w:sz="8" w:space="0" w:color="auto"/>
              <w:bottom w:val="single" w:sz="8" w:space="0" w:color="auto"/>
              <w:right w:val="single" w:sz="8" w:space="0" w:color="auto"/>
            </w:tcBorders>
            <w:vAlign w:val="center"/>
          </w:tcPr>
          <w:p w14:paraId="4CC799D7" w14:textId="202C80F6"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8,428,048</w:t>
            </w:r>
          </w:p>
        </w:tc>
        <w:tc>
          <w:tcPr>
            <w:tcW w:w="1242" w:type="dxa"/>
            <w:tcBorders>
              <w:top w:val="single" w:sz="8" w:space="0" w:color="auto"/>
              <w:left w:val="single" w:sz="8" w:space="0" w:color="auto"/>
              <w:bottom w:val="single" w:sz="8" w:space="0" w:color="auto"/>
              <w:right w:val="single" w:sz="8" w:space="0" w:color="auto"/>
            </w:tcBorders>
            <w:vAlign w:val="center"/>
          </w:tcPr>
          <w:p w14:paraId="5D5A2BB2" w14:textId="35FC2972"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42,140,240</w:t>
            </w:r>
          </w:p>
        </w:tc>
      </w:tr>
      <w:tr w:rsidR="407C6527" w14:paraId="2D152EB4" w14:textId="77777777" w:rsidTr="00621AEE">
        <w:trPr>
          <w:trHeight w:val="832"/>
        </w:trPr>
        <w:tc>
          <w:tcPr>
            <w:tcW w:w="1830" w:type="dxa"/>
            <w:tcBorders>
              <w:top w:val="single" w:sz="8" w:space="0" w:color="auto"/>
              <w:left w:val="single" w:sz="8" w:space="0" w:color="auto"/>
              <w:bottom w:val="single" w:sz="8" w:space="0" w:color="000000" w:themeColor="text1"/>
              <w:right w:val="single" w:sz="8" w:space="0" w:color="auto"/>
            </w:tcBorders>
            <w:vAlign w:val="center"/>
          </w:tcPr>
          <w:p w14:paraId="27DD65C3" w14:textId="5F59066F" w:rsidR="407C6527" w:rsidRDefault="407C6527" w:rsidP="00F55B78">
            <w:r w:rsidRPr="407C6527">
              <w:rPr>
                <w:rFonts w:ascii="Calibri" w:eastAsia="Calibri" w:hAnsi="Calibri" w:cs="Calibri"/>
                <w:color w:val="000000" w:themeColor="text1"/>
                <w:sz w:val="20"/>
              </w:rPr>
              <w:t>Retrofit for energy efficiency</w:t>
            </w:r>
          </w:p>
        </w:tc>
        <w:tc>
          <w:tcPr>
            <w:tcW w:w="1155" w:type="dxa"/>
            <w:tcBorders>
              <w:top w:val="single" w:sz="8" w:space="0" w:color="auto"/>
              <w:left w:val="single" w:sz="8" w:space="0" w:color="auto"/>
              <w:bottom w:val="single" w:sz="8" w:space="0" w:color="auto"/>
              <w:right w:val="single" w:sz="8" w:space="0" w:color="auto"/>
            </w:tcBorders>
            <w:vAlign w:val="center"/>
          </w:tcPr>
          <w:p w14:paraId="41348D4B" w14:textId="34393AFA"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1,000,000</w:t>
            </w:r>
          </w:p>
        </w:tc>
        <w:tc>
          <w:tcPr>
            <w:tcW w:w="960" w:type="dxa"/>
            <w:tcBorders>
              <w:top w:val="single" w:sz="8" w:space="0" w:color="auto"/>
              <w:left w:val="single" w:sz="8" w:space="0" w:color="auto"/>
              <w:bottom w:val="single" w:sz="8" w:space="0" w:color="auto"/>
              <w:right w:val="single" w:sz="8" w:space="0" w:color="auto"/>
            </w:tcBorders>
            <w:vAlign w:val="center"/>
          </w:tcPr>
          <w:p w14:paraId="688FD6FB" w14:textId="1DE5C169"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1,000,000</w:t>
            </w:r>
          </w:p>
        </w:tc>
        <w:tc>
          <w:tcPr>
            <w:tcW w:w="1320" w:type="dxa"/>
            <w:tcBorders>
              <w:top w:val="single" w:sz="8" w:space="0" w:color="auto"/>
              <w:left w:val="single" w:sz="8" w:space="0" w:color="auto"/>
              <w:bottom w:val="single" w:sz="8" w:space="0" w:color="auto"/>
              <w:right w:val="single" w:sz="8" w:space="0" w:color="auto"/>
            </w:tcBorders>
            <w:vAlign w:val="center"/>
          </w:tcPr>
          <w:p w14:paraId="1964D266" w14:textId="02CBCC5A"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1,000,000</w:t>
            </w:r>
          </w:p>
        </w:tc>
        <w:tc>
          <w:tcPr>
            <w:tcW w:w="1065" w:type="dxa"/>
            <w:tcBorders>
              <w:top w:val="single" w:sz="8" w:space="0" w:color="auto"/>
              <w:left w:val="single" w:sz="8" w:space="0" w:color="auto"/>
              <w:bottom w:val="single" w:sz="8" w:space="0" w:color="auto"/>
              <w:right w:val="single" w:sz="8" w:space="0" w:color="auto"/>
            </w:tcBorders>
            <w:vAlign w:val="center"/>
          </w:tcPr>
          <w:p w14:paraId="05BCA942" w14:textId="6FDDBA41"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0</w:t>
            </w:r>
          </w:p>
        </w:tc>
        <w:tc>
          <w:tcPr>
            <w:tcW w:w="1065" w:type="dxa"/>
            <w:tcBorders>
              <w:top w:val="single" w:sz="8" w:space="0" w:color="auto"/>
              <w:left w:val="single" w:sz="8" w:space="0" w:color="auto"/>
              <w:bottom w:val="single" w:sz="8" w:space="0" w:color="auto"/>
              <w:right w:val="single" w:sz="8" w:space="0" w:color="auto"/>
            </w:tcBorders>
            <w:vAlign w:val="center"/>
          </w:tcPr>
          <w:p w14:paraId="7A40466F" w14:textId="6CD4B1A3"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0</w:t>
            </w:r>
          </w:p>
        </w:tc>
        <w:tc>
          <w:tcPr>
            <w:tcW w:w="1242" w:type="dxa"/>
            <w:tcBorders>
              <w:top w:val="single" w:sz="8" w:space="0" w:color="auto"/>
              <w:left w:val="single" w:sz="8" w:space="0" w:color="auto"/>
              <w:bottom w:val="single" w:sz="8" w:space="0" w:color="auto"/>
              <w:right w:val="single" w:sz="8" w:space="0" w:color="auto"/>
            </w:tcBorders>
            <w:vAlign w:val="center"/>
          </w:tcPr>
          <w:p w14:paraId="7E55173B" w14:textId="793F5FDA"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3,000,000</w:t>
            </w:r>
          </w:p>
        </w:tc>
      </w:tr>
      <w:tr w:rsidR="407C6527" w14:paraId="245AE70F" w14:textId="77777777" w:rsidTr="00621AEE">
        <w:trPr>
          <w:trHeight w:val="832"/>
        </w:trPr>
        <w:tc>
          <w:tcPr>
            <w:tcW w:w="1830" w:type="dxa"/>
            <w:tcBorders>
              <w:top w:val="single" w:sz="8" w:space="0" w:color="auto"/>
              <w:left w:val="single" w:sz="8" w:space="0" w:color="auto"/>
              <w:bottom w:val="single" w:sz="8" w:space="0" w:color="auto"/>
              <w:right w:val="single" w:sz="8" w:space="0" w:color="auto"/>
            </w:tcBorders>
            <w:vAlign w:val="center"/>
          </w:tcPr>
          <w:p w14:paraId="374F2D4E" w14:textId="2EFA0E4A" w:rsidR="407C6527" w:rsidRDefault="407C6527" w:rsidP="00F55B78">
            <w:r w:rsidRPr="407C6527">
              <w:rPr>
                <w:rFonts w:ascii="Calibri" w:eastAsia="Calibri" w:hAnsi="Calibri" w:cs="Calibri"/>
                <w:color w:val="000000" w:themeColor="text1"/>
                <w:sz w:val="20"/>
              </w:rPr>
              <w:t>Aids &amp; Adaptations</w:t>
            </w:r>
          </w:p>
        </w:tc>
        <w:tc>
          <w:tcPr>
            <w:tcW w:w="1155" w:type="dxa"/>
            <w:tcBorders>
              <w:top w:val="single" w:sz="8" w:space="0" w:color="auto"/>
              <w:left w:val="single" w:sz="8" w:space="0" w:color="auto"/>
              <w:bottom w:val="single" w:sz="8" w:space="0" w:color="auto"/>
              <w:right w:val="single" w:sz="8" w:space="0" w:color="auto"/>
            </w:tcBorders>
            <w:vAlign w:val="center"/>
          </w:tcPr>
          <w:p w14:paraId="53676EAB" w14:textId="61F04A3A"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845,000</w:t>
            </w:r>
          </w:p>
        </w:tc>
        <w:tc>
          <w:tcPr>
            <w:tcW w:w="960" w:type="dxa"/>
            <w:tcBorders>
              <w:top w:val="single" w:sz="8" w:space="0" w:color="auto"/>
              <w:left w:val="single" w:sz="8" w:space="0" w:color="auto"/>
              <w:bottom w:val="single" w:sz="8" w:space="0" w:color="auto"/>
              <w:right w:val="single" w:sz="8" w:space="0" w:color="auto"/>
            </w:tcBorders>
            <w:vAlign w:val="center"/>
          </w:tcPr>
          <w:p w14:paraId="5E4A0DB2" w14:textId="152AB284"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845,000</w:t>
            </w:r>
          </w:p>
        </w:tc>
        <w:tc>
          <w:tcPr>
            <w:tcW w:w="1320" w:type="dxa"/>
            <w:tcBorders>
              <w:top w:val="single" w:sz="8" w:space="0" w:color="auto"/>
              <w:left w:val="single" w:sz="8" w:space="0" w:color="auto"/>
              <w:bottom w:val="single" w:sz="8" w:space="0" w:color="auto"/>
              <w:right w:val="single" w:sz="8" w:space="0" w:color="auto"/>
            </w:tcBorders>
            <w:vAlign w:val="center"/>
          </w:tcPr>
          <w:p w14:paraId="6B77F2D3" w14:textId="79F87C8B"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845,000</w:t>
            </w:r>
          </w:p>
        </w:tc>
        <w:tc>
          <w:tcPr>
            <w:tcW w:w="1065" w:type="dxa"/>
            <w:tcBorders>
              <w:top w:val="single" w:sz="8" w:space="0" w:color="auto"/>
              <w:left w:val="single" w:sz="8" w:space="0" w:color="auto"/>
              <w:bottom w:val="single" w:sz="8" w:space="0" w:color="auto"/>
              <w:right w:val="single" w:sz="8" w:space="0" w:color="auto"/>
            </w:tcBorders>
            <w:vAlign w:val="center"/>
          </w:tcPr>
          <w:p w14:paraId="330A2334" w14:textId="6244F6C2"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845,000</w:t>
            </w:r>
          </w:p>
        </w:tc>
        <w:tc>
          <w:tcPr>
            <w:tcW w:w="1065" w:type="dxa"/>
            <w:tcBorders>
              <w:top w:val="single" w:sz="8" w:space="0" w:color="auto"/>
              <w:left w:val="single" w:sz="8" w:space="0" w:color="auto"/>
              <w:bottom w:val="single" w:sz="8" w:space="0" w:color="auto"/>
              <w:right w:val="single" w:sz="8" w:space="0" w:color="auto"/>
            </w:tcBorders>
            <w:vAlign w:val="center"/>
          </w:tcPr>
          <w:p w14:paraId="2EE89FBD" w14:textId="7AC17AD3"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845,000</w:t>
            </w:r>
          </w:p>
        </w:tc>
        <w:tc>
          <w:tcPr>
            <w:tcW w:w="1242" w:type="dxa"/>
            <w:tcBorders>
              <w:top w:val="single" w:sz="8" w:space="0" w:color="auto"/>
              <w:left w:val="single" w:sz="8" w:space="0" w:color="auto"/>
              <w:bottom w:val="single" w:sz="8" w:space="0" w:color="auto"/>
              <w:right w:val="single" w:sz="8" w:space="0" w:color="auto"/>
            </w:tcBorders>
            <w:vAlign w:val="center"/>
          </w:tcPr>
          <w:p w14:paraId="1DFD1683" w14:textId="7FD80BFE"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4,225,000</w:t>
            </w:r>
          </w:p>
        </w:tc>
      </w:tr>
      <w:tr w:rsidR="407C6527" w14:paraId="2780D45E" w14:textId="77777777" w:rsidTr="00621AEE">
        <w:trPr>
          <w:trHeight w:val="832"/>
        </w:trPr>
        <w:tc>
          <w:tcPr>
            <w:tcW w:w="1830" w:type="dxa"/>
            <w:tcBorders>
              <w:top w:val="single" w:sz="8" w:space="0" w:color="auto"/>
              <w:left w:val="single" w:sz="8" w:space="0" w:color="auto"/>
              <w:bottom w:val="single" w:sz="8" w:space="0" w:color="auto"/>
              <w:right w:val="single" w:sz="8" w:space="0" w:color="auto"/>
            </w:tcBorders>
            <w:vAlign w:val="center"/>
          </w:tcPr>
          <w:p w14:paraId="78E63075" w14:textId="2EA36A28" w:rsidR="407C6527" w:rsidRDefault="407C6527" w:rsidP="00F55B78">
            <w:r w:rsidRPr="407C6527">
              <w:rPr>
                <w:rFonts w:ascii="Calibri" w:eastAsia="Calibri" w:hAnsi="Calibri" w:cs="Calibri"/>
                <w:b/>
                <w:bCs/>
                <w:color w:val="000000" w:themeColor="text1"/>
                <w:sz w:val="20"/>
              </w:rPr>
              <w:t>Planned investment (Capital)</w:t>
            </w:r>
          </w:p>
        </w:tc>
        <w:tc>
          <w:tcPr>
            <w:tcW w:w="1155" w:type="dxa"/>
            <w:tcBorders>
              <w:top w:val="single" w:sz="8" w:space="0" w:color="auto"/>
              <w:left w:val="single" w:sz="8" w:space="0" w:color="auto"/>
              <w:bottom w:val="single" w:sz="8" w:space="0" w:color="auto"/>
              <w:right w:val="single" w:sz="8" w:space="0" w:color="auto"/>
            </w:tcBorders>
            <w:vAlign w:val="center"/>
          </w:tcPr>
          <w:p w14:paraId="727221F2" w14:textId="23C9D46B"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10,273,048</w:t>
            </w:r>
          </w:p>
        </w:tc>
        <w:tc>
          <w:tcPr>
            <w:tcW w:w="960" w:type="dxa"/>
            <w:tcBorders>
              <w:top w:val="single" w:sz="8" w:space="0" w:color="auto"/>
              <w:left w:val="single" w:sz="8" w:space="0" w:color="auto"/>
              <w:bottom w:val="single" w:sz="8" w:space="0" w:color="auto"/>
              <w:right w:val="single" w:sz="8" w:space="0" w:color="auto"/>
            </w:tcBorders>
            <w:vAlign w:val="center"/>
          </w:tcPr>
          <w:p w14:paraId="7884F4EA" w14:textId="2D947A11"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10,273,048</w:t>
            </w:r>
          </w:p>
        </w:tc>
        <w:tc>
          <w:tcPr>
            <w:tcW w:w="1320" w:type="dxa"/>
            <w:tcBorders>
              <w:top w:val="single" w:sz="8" w:space="0" w:color="auto"/>
              <w:left w:val="single" w:sz="8" w:space="0" w:color="auto"/>
              <w:bottom w:val="single" w:sz="8" w:space="0" w:color="auto"/>
              <w:right w:val="single" w:sz="8" w:space="0" w:color="auto"/>
            </w:tcBorders>
            <w:vAlign w:val="center"/>
          </w:tcPr>
          <w:p w14:paraId="23F023EB" w14:textId="0A1D1EEB"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10,273,048</w:t>
            </w:r>
          </w:p>
        </w:tc>
        <w:tc>
          <w:tcPr>
            <w:tcW w:w="1065" w:type="dxa"/>
            <w:tcBorders>
              <w:top w:val="single" w:sz="8" w:space="0" w:color="auto"/>
              <w:left w:val="single" w:sz="8" w:space="0" w:color="auto"/>
              <w:bottom w:val="single" w:sz="8" w:space="0" w:color="auto"/>
              <w:right w:val="single" w:sz="8" w:space="0" w:color="auto"/>
            </w:tcBorders>
            <w:vAlign w:val="center"/>
          </w:tcPr>
          <w:p w14:paraId="717007DB" w14:textId="0D8377E7"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9,273,048</w:t>
            </w:r>
          </w:p>
        </w:tc>
        <w:tc>
          <w:tcPr>
            <w:tcW w:w="1065" w:type="dxa"/>
            <w:tcBorders>
              <w:top w:val="single" w:sz="8" w:space="0" w:color="auto"/>
              <w:left w:val="single" w:sz="8" w:space="0" w:color="auto"/>
              <w:bottom w:val="single" w:sz="8" w:space="0" w:color="auto"/>
              <w:right w:val="single" w:sz="8" w:space="0" w:color="auto"/>
            </w:tcBorders>
            <w:vAlign w:val="center"/>
          </w:tcPr>
          <w:p w14:paraId="7D752B9C" w14:textId="0811B242"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9,273,048</w:t>
            </w:r>
          </w:p>
        </w:tc>
        <w:tc>
          <w:tcPr>
            <w:tcW w:w="1242" w:type="dxa"/>
            <w:tcBorders>
              <w:top w:val="single" w:sz="8" w:space="0" w:color="auto"/>
              <w:left w:val="single" w:sz="8" w:space="0" w:color="auto"/>
              <w:bottom w:val="single" w:sz="8" w:space="0" w:color="auto"/>
              <w:right w:val="single" w:sz="8" w:space="0" w:color="auto"/>
            </w:tcBorders>
            <w:vAlign w:val="center"/>
          </w:tcPr>
          <w:p w14:paraId="41C471C8" w14:textId="1F5E2B27"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49,365,240</w:t>
            </w:r>
          </w:p>
        </w:tc>
      </w:tr>
      <w:tr w:rsidR="407C6527" w14:paraId="32304264" w14:textId="77777777" w:rsidTr="00621AEE">
        <w:trPr>
          <w:trHeight w:val="832"/>
        </w:trPr>
        <w:tc>
          <w:tcPr>
            <w:tcW w:w="1830" w:type="dxa"/>
            <w:tcBorders>
              <w:top w:val="single" w:sz="8" w:space="0" w:color="auto"/>
              <w:left w:val="single" w:sz="8" w:space="0" w:color="auto"/>
              <w:bottom w:val="single" w:sz="8" w:space="0" w:color="auto"/>
              <w:right w:val="single" w:sz="8" w:space="0" w:color="auto"/>
            </w:tcBorders>
            <w:vAlign w:val="center"/>
          </w:tcPr>
          <w:p w14:paraId="070B8691" w14:textId="5709C5A8" w:rsidR="407C6527" w:rsidRDefault="407C6527" w:rsidP="00F55B78">
            <w:r w:rsidRPr="407C6527">
              <w:rPr>
                <w:rFonts w:ascii="Calibri" w:eastAsia="Calibri" w:hAnsi="Calibri" w:cs="Calibri"/>
                <w:color w:val="000000" w:themeColor="text1"/>
                <w:sz w:val="20"/>
              </w:rPr>
              <w:t xml:space="preserve">PPM Revenue </w:t>
            </w:r>
          </w:p>
        </w:tc>
        <w:tc>
          <w:tcPr>
            <w:tcW w:w="1155" w:type="dxa"/>
            <w:tcBorders>
              <w:top w:val="single" w:sz="8" w:space="0" w:color="auto"/>
              <w:left w:val="single" w:sz="8" w:space="0" w:color="auto"/>
              <w:bottom w:val="single" w:sz="8" w:space="0" w:color="auto"/>
              <w:right w:val="single" w:sz="8" w:space="0" w:color="auto"/>
            </w:tcBorders>
            <w:vAlign w:val="center"/>
          </w:tcPr>
          <w:p w14:paraId="3DD4D0B6" w14:textId="0E209E84"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400,000</w:t>
            </w:r>
          </w:p>
        </w:tc>
        <w:tc>
          <w:tcPr>
            <w:tcW w:w="960" w:type="dxa"/>
            <w:tcBorders>
              <w:top w:val="single" w:sz="8" w:space="0" w:color="auto"/>
              <w:left w:val="single" w:sz="8" w:space="0" w:color="auto"/>
              <w:bottom w:val="single" w:sz="8" w:space="0" w:color="auto"/>
              <w:right w:val="single" w:sz="8" w:space="0" w:color="auto"/>
            </w:tcBorders>
            <w:vAlign w:val="center"/>
          </w:tcPr>
          <w:p w14:paraId="49174B47" w14:textId="33172C74"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400,000</w:t>
            </w:r>
          </w:p>
        </w:tc>
        <w:tc>
          <w:tcPr>
            <w:tcW w:w="1320" w:type="dxa"/>
            <w:tcBorders>
              <w:top w:val="single" w:sz="8" w:space="0" w:color="auto"/>
              <w:left w:val="single" w:sz="8" w:space="0" w:color="auto"/>
              <w:bottom w:val="single" w:sz="8" w:space="0" w:color="auto"/>
              <w:right w:val="single" w:sz="8" w:space="0" w:color="auto"/>
            </w:tcBorders>
            <w:vAlign w:val="center"/>
          </w:tcPr>
          <w:p w14:paraId="5C88E64B" w14:textId="0BA63AD9"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400,000</w:t>
            </w:r>
          </w:p>
        </w:tc>
        <w:tc>
          <w:tcPr>
            <w:tcW w:w="1065" w:type="dxa"/>
            <w:tcBorders>
              <w:top w:val="single" w:sz="8" w:space="0" w:color="auto"/>
              <w:left w:val="single" w:sz="8" w:space="0" w:color="auto"/>
              <w:bottom w:val="single" w:sz="8" w:space="0" w:color="auto"/>
              <w:right w:val="single" w:sz="8" w:space="0" w:color="auto"/>
            </w:tcBorders>
            <w:vAlign w:val="center"/>
          </w:tcPr>
          <w:p w14:paraId="0BDB569C" w14:textId="6DE2C9B0"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400,000</w:t>
            </w:r>
          </w:p>
        </w:tc>
        <w:tc>
          <w:tcPr>
            <w:tcW w:w="1065" w:type="dxa"/>
            <w:tcBorders>
              <w:top w:val="single" w:sz="8" w:space="0" w:color="auto"/>
              <w:left w:val="single" w:sz="8" w:space="0" w:color="auto"/>
              <w:bottom w:val="single" w:sz="8" w:space="0" w:color="auto"/>
              <w:right w:val="single" w:sz="8" w:space="0" w:color="auto"/>
            </w:tcBorders>
            <w:vAlign w:val="center"/>
          </w:tcPr>
          <w:p w14:paraId="6D0818E9" w14:textId="244DDED4" w:rsidR="407C6527" w:rsidRDefault="407C6527" w:rsidP="00F55B78">
            <w:pPr>
              <w:rPr>
                <w:rFonts w:ascii="Calibri" w:eastAsia="Calibri" w:hAnsi="Calibri" w:cs="Calibri"/>
                <w:color w:val="000000" w:themeColor="text1"/>
                <w:sz w:val="20"/>
              </w:rPr>
            </w:pPr>
            <w:r w:rsidRPr="407C6527">
              <w:rPr>
                <w:rFonts w:ascii="Calibri" w:eastAsia="Calibri" w:hAnsi="Calibri" w:cs="Calibri"/>
                <w:color w:val="000000" w:themeColor="text1"/>
                <w:sz w:val="20"/>
              </w:rPr>
              <w:t>400,000</w:t>
            </w:r>
          </w:p>
        </w:tc>
        <w:tc>
          <w:tcPr>
            <w:tcW w:w="1242" w:type="dxa"/>
            <w:tcBorders>
              <w:top w:val="single" w:sz="8" w:space="0" w:color="auto"/>
              <w:left w:val="single" w:sz="8" w:space="0" w:color="auto"/>
              <w:bottom w:val="single" w:sz="8" w:space="0" w:color="auto"/>
              <w:right w:val="single" w:sz="8" w:space="0" w:color="auto"/>
            </w:tcBorders>
            <w:vAlign w:val="center"/>
          </w:tcPr>
          <w:p w14:paraId="57D416C4" w14:textId="38A1BA48"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2,000,000</w:t>
            </w:r>
          </w:p>
        </w:tc>
      </w:tr>
      <w:tr w:rsidR="407C6527" w14:paraId="59334799" w14:textId="77777777" w:rsidTr="00621AEE">
        <w:trPr>
          <w:trHeight w:val="832"/>
        </w:trPr>
        <w:tc>
          <w:tcPr>
            <w:tcW w:w="1830" w:type="dxa"/>
            <w:tcBorders>
              <w:top w:val="single" w:sz="8" w:space="0" w:color="auto"/>
              <w:left w:val="single" w:sz="8" w:space="0" w:color="auto"/>
              <w:bottom w:val="single" w:sz="8" w:space="0" w:color="auto"/>
              <w:right w:val="single" w:sz="8" w:space="0" w:color="auto"/>
            </w:tcBorders>
            <w:vAlign w:val="center"/>
          </w:tcPr>
          <w:p w14:paraId="0D209F54" w14:textId="6C4CF3A3" w:rsidR="407C6527" w:rsidRDefault="407C6527" w:rsidP="00F55B78">
            <w:r w:rsidRPr="407C6527">
              <w:rPr>
                <w:rFonts w:ascii="Calibri" w:eastAsia="Calibri" w:hAnsi="Calibri" w:cs="Calibri"/>
                <w:b/>
                <w:bCs/>
                <w:color w:val="000000" w:themeColor="text1"/>
                <w:sz w:val="20"/>
              </w:rPr>
              <w:t>Planned investment</w:t>
            </w:r>
          </w:p>
        </w:tc>
        <w:tc>
          <w:tcPr>
            <w:tcW w:w="1155" w:type="dxa"/>
            <w:tcBorders>
              <w:top w:val="single" w:sz="8" w:space="0" w:color="auto"/>
              <w:left w:val="single" w:sz="8" w:space="0" w:color="auto"/>
              <w:bottom w:val="single" w:sz="8" w:space="0" w:color="auto"/>
              <w:right w:val="single" w:sz="8" w:space="0" w:color="auto"/>
            </w:tcBorders>
            <w:vAlign w:val="center"/>
          </w:tcPr>
          <w:p w14:paraId="607A13B4" w14:textId="50EC25D0"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10,673,048</w:t>
            </w:r>
          </w:p>
        </w:tc>
        <w:tc>
          <w:tcPr>
            <w:tcW w:w="960" w:type="dxa"/>
            <w:tcBorders>
              <w:top w:val="single" w:sz="8" w:space="0" w:color="auto"/>
              <w:left w:val="single" w:sz="8" w:space="0" w:color="auto"/>
              <w:bottom w:val="single" w:sz="8" w:space="0" w:color="auto"/>
              <w:right w:val="single" w:sz="8" w:space="0" w:color="auto"/>
            </w:tcBorders>
            <w:vAlign w:val="center"/>
          </w:tcPr>
          <w:p w14:paraId="52B8BE39" w14:textId="510340E9"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10,673,048</w:t>
            </w:r>
          </w:p>
        </w:tc>
        <w:tc>
          <w:tcPr>
            <w:tcW w:w="1320" w:type="dxa"/>
            <w:tcBorders>
              <w:top w:val="single" w:sz="8" w:space="0" w:color="auto"/>
              <w:left w:val="single" w:sz="8" w:space="0" w:color="auto"/>
              <w:bottom w:val="single" w:sz="8" w:space="0" w:color="auto"/>
              <w:right w:val="single" w:sz="8" w:space="0" w:color="auto"/>
            </w:tcBorders>
            <w:vAlign w:val="center"/>
          </w:tcPr>
          <w:p w14:paraId="6D3D82F4" w14:textId="30148A89"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10,673,048</w:t>
            </w:r>
          </w:p>
        </w:tc>
        <w:tc>
          <w:tcPr>
            <w:tcW w:w="1065" w:type="dxa"/>
            <w:tcBorders>
              <w:top w:val="single" w:sz="8" w:space="0" w:color="auto"/>
              <w:left w:val="single" w:sz="8" w:space="0" w:color="auto"/>
              <w:bottom w:val="single" w:sz="8" w:space="0" w:color="auto"/>
              <w:right w:val="single" w:sz="8" w:space="0" w:color="auto"/>
            </w:tcBorders>
            <w:vAlign w:val="center"/>
          </w:tcPr>
          <w:p w14:paraId="28D0BF0B" w14:textId="043025CB"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9,673,048</w:t>
            </w:r>
          </w:p>
        </w:tc>
        <w:tc>
          <w:tcPr>
            <w:tcW w:w="1065" w:type="dxa"/>
            <w:tcBorders>
              <w:top w:val="single" w:sz="8" w:space="0" w:color="auto"/>
              <w:left w:val="single" w:sz="8" w:space="0" w:color="auto"/>
              <w:bottom w:val="single" w:sz="8" w:space="0" w:color="auto"/>
              <w:right w:val="single" w:sz="8" w:space="0" w:color="auto"/>
            </w:tcBorders>
            <w:vAlign w:val="center"/>
          </w:tcPr>
          <w:p w14:paraId="361C535E" w14:textId="65DD0095"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9,673,048</w:t>
            </w:r>
          </w:p>
        </w:tc>
        <w:tc>
          <w:tcPr>
            <w:tcW w:w="1242" w:type="dxa"/>
            <w:tcBorders>
              <w:top w:val="single" w:sz="8" w:space="0" w:color="auto"/>
              <w:left w:val="single" w:sz="8" w:space="0" w:color="auto"/>
              <w:bottom w:val="single" w:sz="8" w:space="0" w:color="auto"/>
              <w:right w:val="single" w:sz="8" w:space="0" w:color="auto"/>
            </w:tcBorders>
            <w:vAlign w:val="center"/>
          </w:tcPr>
          <w:p w14:paraId="5AF00CCB" w14:textId="0CF8982F" w:rsidR="407C6527" w:rsidRDefault="407C6527" w:rsidP="00F55B78">
            <w:pPr>
              <w:rPr>
                <w:rFonts w:ascii="Calibri" w:eastAsia="Calibri" w:hAnsi="Calibri" w:cs="Calibri"/>
                <w:b/>
                <w:bCs/>
                <w:color w:val="000000" w:themeColor="text1"/>
                <w:sz w:val="20"/>
              </w:rPr>
            </w:pPr>
            <w:r w:rsidRPr="407C6527">
              <w:rPr>
                <w:rFonts w:ascii="Calibri" w:eastAsia="Calibri" w:hAnsi="Calibri" w:cs="Calibri"/>
                <w:b/>
                <w:bCs/>
                <w:color w:val="000000" w:themeColor="text1"/>
                <w:sz w:val="20"/>
              </w:rPr>
              <w:t>51,365,240</w:t>
            </w:r>
          </w:p>
        </w:tc>
      </w:tr>
    </w:tbl>
    <w:p w14:paraId="142CEA76" w14:textId="4E1AC34E" w:rsidR="001E0064" w:rsidRDefault="001E0064" w:rsidP="00F55B78">
      <w:pPr>
        <w:pStyle w:val="Heading3"/>
        <w:spacing w:before="480" w:after="240"/>
        <w:jc w:val="left"/>
      </w:pPr>
      <w:r>
        <w:t>1</w:t>
      </w:r>
      <w:r w:rsidR="00894A1A">
        <w:t>0</w:t>
      </w:r>
      <w:r>
        <w:t>.0</w:t>
      </w:r>
      <w:r w:rsidRPr="004D68EA">
        <w:tab/>
        <w:t>Equalities</w:t>
      </w:r>
      <w:r w:rsidRPr="004A2543">
        <w:t xml:space="preserve"> </w:t>
      </w:r>
      <w:r>
        <w:t>I</w:t>
      </w:r>
      <w:r w:rsidRPr="004A2543">
        <w:t>mplications</w:t>
      </w:r>
      <w:r>
        <w:t xml:space="preserve"> </w:t>
      </w:r>
      <w:r w:rsidRPr="00333FAA">
        <w:t>/</w:t>
      </w:r>
      <w:r>
        <w:t xml:space="preserve"> </w:t>
      </w:r>
      <w:r w:rsidRPr="00333FAA">
        <w:t>Public Sector Equality Duty</w:t>
      </w:r>
    </w:p>
    <w:p w14:paraId="1A2B768E" w14:textId="73C35BC7" w:rsidR="001E0064" w:rsidRPr="008A2869" w:rsidRDefault="001E0064" w:rsidP="00F55B78">
      <w:pPr>
        <w:shd w:val="clear" w:color="auto" w:fill="FFFFFF"/>
        <w:ind w:left="720" w:hanging="720"/>
        <w:rPr>
          <w:rFonts w:cs="Arial"/>
          <w:color w:val="242424"/>
          <w:sz w:val="21"/>
          <w:szCs w:val="21"/>
          <w:lang w:eastAsia="en-GB"/>
        </w:rPr>
      </w:pPr>
      <w:r>
        <w:rPr>
          <w:rFonts w:cs="Arial"/>
          <w:color w:val="242424"/>
          <w:szCs w:val="24"/>
          <w:lang w:eastAsia="en-GB"/>
        </w:rPr>
        <w:t>1</w:t>
      </w:r>
      <w:r w:rsidR="00894A1A">
        <w:rPr>
          <w:rFonts w:cs="Arial"/>
          <w:color w:val="242424"/>
          <w:szCs w:val="24"/>
          <w:lang w:eastAsia="en-GB"/>
        </w:rPr>
        <w:t>0</w:t>
      </w:r>
      <w:r>
        <w:rPr>
          <w:rFonts w:cs="Arial"/>
          <w:color w:val="242424"/>
          <w:szCs w:val="24"/>
          <w:lang w:eastAsia="en-GB"/>
        </w:rPr>
        <w:t>.1</w:t>
      </w:r>
      <w:r>
        <w:rPr>
          <w:rFonts w:cs="Arial"/>
          <w:color w:val="242424"/>
          <w:szCs w:val="24"/>
          <w:lang w:eastAsia="en-GB"/>
        </w:rPr>
        <w:tab/>
      </w:r>
      <w:r w:rsidRPr="008A2869">
        <w:rPr>
          <w:rFonts w:cs="Arial"/>
          <w:color w:val="242424"/>
          <w:szCs w:val="24"/>
          <w:lang w:eastAsia="en-GB"/>
        </w:rPr>
        <w:t>The procurement exercise will be designed to deliver existing policies and strategies maintaining the current level of equality in service</w:t>
      </w:r>
      <w:r>
        <w:rPr>
          <w:rFonts w:cs="Arial"/>
          <w:color w:val="242424"/>
          <w:szCs w:val="24"/>
          <w:lang w:eastAsia="en-GB"/>
        </w:rPr>
        <w:t xml:space="preserve"> </w:t>
      </w:r>
      <w:r w:rsidRPr="008A2869">
        <w:rPr>
          <w:rFonts w:cs="Arial"/>
          <w:color w:val="242424"/>
          <w:szCs w:val="24"/>
          <w:lang w:eastAsia="en-GB"/>
        </w:rPr>
        <w:t>provision.</w:t>
      </w:r>
      <w:r w:rsidR="004F0983">
        <w:rPr>
          <w:rFonts w:cs="Arial"/>
          <w:color w:val="242424"/>
          <w:szCs w:val="24"/>
          <w:lang w:eastAsia="en-GB"/>
        </w:rPr>
        <w:t xml:space="preserve"> Individual </w:t>
      </w:r>
      <w:r w:rsidRPr="008A2869">
        <w:rPr>
          <w:rFonts w:cs="Arial"/>
          <w:color w:val="242424"/>
          <w:szCs w:val="24"/>
          <w:lang w:eastAsia="en-GB"/>
        </w:rPr>
        <w:t>contract specification</w:t>
      </w:r>
      <w:r w:rsidR="004F0983">
        <w:rPr>
          <w:rFonts w:cs="Arial"/>
          <w:color w:val="242424"/>
          <w:szCs w:val="24"/>
          <w:lang w:eastAsia="en-GB"/>
        </w:rPr>
        <w:t>s</w:t>
      </w:r>
      <w:r w:rsidRPr="008A2869">
        <w:rPr>
          <w:rFonts w:cs="Arial"/>
          <w:color w:val="242424"/>
          <w:szCs w:val="24"/>
          <w:lang w:eastAsia="en-GB"/>
        </w:rPr>
        <w:t xml:space="preserve"> will be very clear on the equalities related duties on contractors, given the wide range of needs of our customers.</w:t>
      </w:r>
    </w:p>
    <w:p w14:paraId="106FD638" w14:textId="77777777" w:rsidR="001E0064" w:rsidRPr="008A2869" w:rsidRDefault="001E0064" w:rsidP="00F55B78">
      <w:pPr>
        <w:shd w:val="clear" w:color="auto" w:fill="FFFFFF"/>
        <w:rPr>
          <w:rFonts w:cs="Arial"/>
          <w:color w:val="242424"/>
          <w:sz w:val="21"/>
          <w:szCs w:val="21"/>
          <w:lang w:eastAsia="en-GB"/>
        </w:rPr>
      </w:pPr>
    </w:p>
    <w:p w14:paraId="2D79D166" w14:textId="56BF4A3A" w:rsidR="001E0064" w:rsidRPr="008A2869" w:rsidRDefault="001E0064" w:rsidP="00F55B78">
      <w:pPr>
        <w:shd w:val="clear" w:color="auto" w:fill="FFFFFF"/>
        <w:ind w:left="720" w:hanging="720"/>
        <w:rPr>
          <w:rFonts w:cs="Arial"/>
          <w:color w:val="242424"/>
          <w:sz w:val="21"/>
          <w:szCs w:val="21"/>
          <w:lang w:eastAsia="en-GB"/>
        </w:rPr>
      </w:pPr>
      <w:r>
        <w:rPr>
          <w:rFonts w:cs="Arial"/>
          <w:color w:val="242424"/>
          <w:szCs w:val="24"/>
          <w:lang w:eastAsia="en-GB"/>
        </w:rPr>
        <w:t>1</w:t>
      </w:r>
      <w:r w:rsidR="00894A1A">
        <w:rPr>
          <w:rFonts w:cs="Arial"/>
          <w:color w:val="242424"/>
          <w:szCs w:val="24"/>
          <w:lang w:eastAsia="en-GB"/>
        </w:rPr>
        <w:t>0</w:t>
      </w:r>
      <w:r>
        <w:rPr>
          <w:rFonts w:cs="Arial"/>
          <w:color w:val="242424"/>
          <w:szCs w:val="24"/>
          <w:lang w:eastAsia="en-GB"/>
        </w:rPr>
        <w:t>.</w:t>
      </w:r>
      <w:r w:rsidR="00252DEC">
        <w:rPr>
          <w:rFonts w:cs="Arial"/>
          <w:color w:val="242424"/>
          <w:szCs w:val="24"/>
          <w:lang w:eastAsia="en-GB"/>
        </w:rPr>
        <w:t>2</w:t>
      </w:r>
      <w:r>
        <w:rPr>
          <w:rFonts w:cs="Arial"/>
          <w:color w:val="242424"/>
          <w:szCs w:val="24"/>
          <w:lang w:eastAsia="en-GB"/>
        </w:rPr>
        <w:tab/>
      </w:r>
      <w:r w:rsidRPr="008A2869">
        <w:rPr>
          <w:rFonts w:cs="Arial"/>
          <w:color w:val="242424"/>
          <w:szCs w:val="24"/>
          <w:lang w:eastAsia="en-GB"/>
        </w:rPr>
        <w:t>A</w:t>
      </w:r>
      <w:r w:rsidR="009F3E81">
        <w:rPr>
          <w:rFonts w:cs="Arial"/>
          <w:color w:val="242424"/>
          <w:szCs w:val="24"/>
          <w:lang w:eastAsia="en-GB"/>
        </w:rPr>
        <w:t>n</w:t>
      </w:r>
      <w:r w:rsidRPr="008A2869">
        <w:rPr>
          <w:rFonts w:cs="Arial"/>
          <w:color w:val="242424"/>
          <w:szCs w:val="24"/>
          <w:lang w:eastAsia="en-GB"/>
        </w:rPr>
        <w:t xml:space="preserve"> initial Equality Impact Assessment </w:t>
      </w:r>
      <w:r w:rsidR="005B396B">
        <w:rPr>
          <w:rFonts w:cs="Arial"/>
          <w:color w:val="242424"/>
          <w:szCs w:val="24"/>
          <w:lang w:eastAsia="en-GB"/>
        </w:rPr>
        <w:t xml:space="preserve">will be prepared </w:t>
      </w:r>
      <w:r w:rsidR="0035338D">
        <w:rPr>
          <w:rFonts w:cs="Arial"/>
          <w:color w:val="242424"/>
          <w:szCs w:val="24"/>
          <w:lang w:eastAsia="en-GB"/>
        </w:rPr>
        <w:t>ahead</w:t>
      </w:r>
      <w:r w:rsidR="00082D24">
        <w:rPr>
          <w:rFonts w:cs="Arial"/>
          <w:color w:val="242424"/>
          <w:szCs w:val="24"/>
          <w:lang w:eastAsia="en-GB"/>
        </w:rPr>
        <w:t xml:space="preserve"> </w:t>
      </w:r>
      <w:r w:rsidR="0035338D">
        <w:rPr>
          <w:rFonts w:cs="Arial"/>
          <w:color w:val="242424"/>
          <w:szCs w:val="24"/>
          <w:lang w:eastAsia="en-GB"/>
        </w:rPr>
        <w:t xml:space="preserve">of </w:t>
      </w:r>
      <w:r w:rsidRPr="008A2869">
        <w:rPr>
          <w:rFonts w:cs="Arial"/>
          <w:color w:val="242424"/>
          <w:szCs w:val="24"/>
          <w:lang w:eastAsia="en-GB"/>
        </w:rPr>
        <w:t>procurement</w:t>
      </w:r>
      <w:r w:rsidR="0035338D">
        <w:rPr>
          <w:rFonts w:cs="Arial"/>
          <w:color w:val="242424"/>
          <w:szCs w:val="24"/>
          <w:lang w:eastAsia="en-GB"/>
        </w:rPr>
        <w:t xml:space="preserve"> as contract</w:t>
      </w:r>
      <w:r w:rsidR="00650534">
        <w:rPr>
          <w:rFonts w:cs="Arial"/>
          <w:color w:val="242424"/>
          <w:szCs w:val="24"/>
          <w:lang w:eastAsia="en-GB"/>
        </w:rPr>
        <w:t>s move forward</w:t>
      </w:r>
      <w:r w:rsidRPr="008A2869">
        <w:rPr>
          <w:rFonts w:cs="Arial"/>
          <w:color w:val="242424"/>
          <w:szCs w:val="24"/>
          <w:lang w:eastAsia="en-GB"/>
        </w:rPr>
        <w:t xml:space="preserve">. All opportunities to address diversity-particularly vulnerability for all tenants will be addressed through the contract specification and ensure residents receive the same service regardless of but taking into account specific needs. We will address these in our tendering documents and processes. </w:t>
      </w:r>
    </w:p>
    <w:p w14:paraId="255D5BCD" w14:textId="4C5BDD15" w:rsidR="000275FC" w:rsidRDefault="00FC6B2B" w:rsidP="00786D57">
      <w:pPr>
        <w:pStyle w:val="Heading3"/>
        <w:spacing w:before="480" w:after="240"/>
        <w:jc w:val="left"/>
        <w:rPr>
          <w:lang w:val="en-US"/>
        </w:rPr>
      </w:pPr>
      <w:bookmarkStart w:id="2" w:name="_Hlk110416251"/>
      <w:r>
        <w:t>11.0 Council</w:t>
      </w:r>
      <w:r w:rsidR="00333FAA">
        <w:t xml:space="preserve"> </w:t>
      </w:r>
      <w:r w:rsidR="00333FAA" w:rsidRPr="009117F2">
        <w:t>Priorities</w:t>
      </w:r>
    </w:p>
    <w:p w14:paraId="292D691F" w14:textId="116121B8" w:rsidR="002A4560" w:rsidRDefault="00A21860" w:rsidP="00F55B78">
      <w:pPr>
        <w:ind w:left="720"/>
        <w:rPr>
          <w:rFonts w:cs="Arial"/>
          <w:szCs w:val="24"/>
          <w:lang w:val="en-US"/>
        </w:rPr>
      </w:pPr>
      <w:r>
        <w:rPr>
          <w:rFonts w:cs="Arial"/>
          <w:szCs w:val="24"/>
          <w:lang w:val="en-US"/>
        </w:rPr>
        <w:t>The Asset Management Strategy and 3-year capital programme will deliver the priority of Putting residents first as follows:</w:t>
      </w:r>
    </w:p>
    <w:p w14:paraId="71BB8E29" w14:textId="238C0B86" w:rsidR="002A4560" w:rsidRDefault="002A4560" w:rsidP="00F55B78">
      <w:pPr>
        <w:ind w:left="720"/>
        <w:rPr>
          <w:rFonts w:cs="Arial"/>
          <w:szCs w:val="24"/>
          <w:lang w:val="en-US"/>
        </w:rPr>
      </w:pPr>
    </w:p>
    <w:p w14:paraId="4EA2CAE7" w14:textId="6FEBEDDC" w:rsidR="002E6AC6" w:rsidRDefault="00965EC7" w:rsidP="00F55B78">
      <w:pPr>
        <w:rPr>
          <w:rFonts w:cs="Arial"/>
          <w:b/>
          <w:bCs/>
          <w:szCs w:val="24"/>
          <w:lang w:val="en-US"/>
        </w:rPr>
      </w:pPr>
      <w:r w:rsidRPr="00332240">
        <w:rPr>
          <w:rFonts w:cs="Arial"/>
          <w:szCs w:val="24"/>
          <w:lang w:val="en-US"/>
        </w:rPr>
        <w:t>1</w:t>
      </w:r>
      <w:r w:rsidR="00894A1A">
        <w:rPr>
          <w:rFonts w:cs="Arial"/>
          <w:szCs w:val="24"/>
          <w:lang w:val="en-US"/>
        </w:rPr>
        <w:t>1</w:t>
      </w:r>
      <w:r w:rsidRPr="00332240">
        <w:rPr>
          <w:rFonts w:cs="Arial"/>
          <w:szCs w:val="24"/>
          <w:lang w:val="en-US"/>
        </w:rPr>
        <w:t>.1</w:t>
      </w:r>
      <w:r>
        <w:rPr>
          <w:rFonts w:cs="Arial"/>
          <w:b/>
          <w:bCs/>
          <w:szCs w:val="24"/>
          <w:lang w:val="en-US"/>
        </w:rPr>
        <w:t xml:space="preserve">    </w:t>
      </w:r>
      <w:r w:rsidR="00A21860">
        <w:rPr>
          <w:rFonts w:cs="Arial"/>
          <w:b/>
          <w:bCs/>
          <w:szCs w:val="24"/>
          <w:lang w:val="en-US"/>
        </w:rPr>
        <w:t xml:space="preserve">Ensuring </w:t>
      </w:r>
      <w:r w:rsidR="002E6AC6">
        <w:rPr>
          <w:rFonts w:cs="Arial"/>
          <w:b/>
          <w:bCs/>
          <w:szCs w:val="24"/>
          <w:lang w:val="en-US"/>
        </w:rPr>
        <w:t>compliance</w:t>
      </w:r>
      <w:r w:rsidR="00F66FDA">
        <w:rPr>
          <w:rFonts w:cs="Arial"/>
          <w:b/>
          <w:bCs/>
          <w:szCs w:val="24"/>
          <w:lang w:val="en-US"/>
        </w:rPr>
        <w:t xml:space="preserve"> and mitigating </w:t>
      </w:r>
      <w:r w:rsidR="007E3B46">
        <w:rPr>
          <w:rFonts w:cs="Arial"/>
          <w:b/>
          <w:bCs/>
          <w:szCs w:val="24"/>
          <w:lang w:val="en-US"/>
        </w:rPr>
        <w:t>h</w:t>
      </w:r>
      <w:r w:rsidR="00F66FDA">
        <w:rPr>
          <w:rFonts w:cs="Arial"/>
          <w:b/>
          <w:bCs/>
          <w:szCs w:val="24"/>
          <w:lang w:val="en-US"/>
        </w:rPr>
        <w:t xml:space="preserve">ealth </w:t>
      </w:r>
      <w:r w:rsidR="00BD5330">
        <w:rPr>
          <w:rFonts w:cs="Arial"/>
          <w:b/>
          <w:bCs/>
          <w:szCs w:val="24"/>
          <w:lang w:val="en-US"/>
        </w:rPr>
        <w:t>and</w:t>
      </w:r>
      <w:r w:rsidR="00F66FDA">
        <w:rPr>
          <w:rFonts w:cs="Arial"/>
          <w:b/>
          <w:bCs/>
          <w:szCs w:val="24"/>
          <w:lang w:val="en-US"/>
        </w:rPr>
        <w:t xml:space="preserve"> </w:t>
      </w:r>
      <w:r w:rsidR="007E3B46">
        <w:rPr>
          <w:rFonts w:cs="Arial"/>
          <w:b/>
          <w:bCs/>
          <w:szCs w:val="24"/>
          <w:lang w:val="en-US"/>
        </w:rPr>
        <w:t>s</w:t>
      </w:r>
      <w:r w:rsidR="00F66FDA">
        <w:rPr>
          <w:rFonts w:cs="Arial"/>
          <w:b/>
          <w:bCs/>
          <w:szCs w:val="24"/>
          <w:lang w:val="en-US"/>
        </w:rPr>
        <w:t>afety risk</w:t>
      </w:r>
    </w:p>
    <w:p w14:paraId="2192A619" w14:textId="61D1D790" w:rsidR="00BE32E4" w:rsidRDefault="00BE32E4" w:rsidP="00F55B78">
      <w:pPr>
        <w:ind w:left="720"/>
        <w:rPr>
          <w:rFonts w:cs="Arial"/>
          <w:b/>
          <w:bCs/>
          <w:szCs w:val="24"/>
          <w:lang w:val="en-US"/>
        </w:rPr>
      </w:pPr>
    </w:p>
    <w:p w14:paraId="01E55225" w14:textId="77777777" w:rsidR="00965EC7" w:rsidRDefault="00BE32E4" w:rsidP="00F55B78">
      <w:pPr>
        <w:ind w:left="720"/>
        <w:rPr>
          <w:rFonts w:cs="Arial"/>
          <w:szCs w:val="24"/>
          <w:lang w:val="en-US"/>
        </w:rPr>
      </w:pPr>
      <w:r>
        <w:rPr>
          <w:rFonts w:cs="Arial"/>
          <w:szCs w:val="24"/>
          <w:lang w:val="en-US"/>
        </w:rPr>
        <w:t xml:space="preserve">Statutory compliance will see predominant programmes of work completed as part of this contract, including </w:t>
      </w:r>
      <w:r w:rsidR="004F2F97">
        <w:rPr>
          <w:rFonts w:cs="Arial"/>
          <w:szCs w:val="24"/>
          <w:lang w:val="en-US"/>
        </w:rPr>
        <w:t>upgrades to emergency lighting, alarms, fire doors and other elements of communal fire risk.</w:t>
      </w:r>
      <w:bookmarkEnd w:id="2"/>
    </w:p>
    <w:p w14:paraId="63A18B6D" w14:textId="77777777" w:rsidR="00965EC7" w:rsidRDefault="00965EC7" w:rsidP="00F55B78">
      <w:pPr>
        <w:ind w:left="720"/>
        <w:rPr>
          <w:rFonts w:cs="Arial"/>
          <w:szCs w:val="24"/>
          <w:lang w:val="en-US"/>
        </w:rPr>
      </w:pPr>
    </w:p>
    <w:p w14:paraId="4781C71A" w14:textId="49110150" w:rsidR="002A4560" w:rsidRPr="00332240" w:rsidRDefault="00965EC7" w:rsidP="00F55B78">
      <w:pPr>
        <w:rPr>
          <w:rFonts w:cs="Arial"/>
          <w:szCs w:val="24"/>
          <w:lang w:val="en-US"/>
        </w:rPr>
      </w:pPr>
      <w:r>
        <w:rPr>
          <w:rFonts w:cs="Arial"/>
          <w:szCs w:val="24"/>
          <w:lang w:val="en-US"/>
        </w:rPr>
        <w:t>1</w:t>
      </w:r>
      <w:r w:rsidR="00894A1A">
        <w:rPr>
          <w:rFonts w:cs="Arial"/>
          <w:szCs w:val="24"/>
          <w:lang w:val="en-US"/>
        </w:rPr>
        <w:t>1</w:t>
      </w:r>
      <w:r>
        <w:rPr>
          <w:rFonts w:cs="Arial"/>
          <w:szCs w:val="24"/>
          <w:lang w:val="en-US"/>
        </w:rPr>
        <w:t xml:space="preserve">.2    </w:t>
      </w:r>
      <w:r w:rsidR="00F66FDA" w:rsidRPr="00332240">
        <w:rPr>
          <w:b/>
        </w:rPr>
        <w:t>M</w:t>
      </w:r>
      <w:r w:rsidR="002A4560" w:rsidRPr="00332240">
        <w:rPr>
          <w:b/>
        </w:rPr>
        <w:t xml:space="preserve">aintaining </w:t>
      </w:r>
      <w:r w:rsidR="00F66FDA" w:rsidRPr="00332240">
        <w:rPr>
          <w:b/>
        </w:rPr>
        <w:t>d</w:t>
      </w:r>
      <w:r w:rsidR="002A4560" w:rsidRPr="00332240">
        <w:rPr>
          <w:b/>
        </w:rPr>
        <w:t>ecency and improving infrastructure</w:t>
      </w:r>
    </w:p>
    <w:p w14:paraId="58C00856" w14:textId="27E767ED" w:rsidR="002A4560" w:rsidRPr="00D740A9" w:rsidRDefault="002A4560" w:rsidP="00F55B78">
      <w:pPr>
        <w:autoSpaceDE w:val="0"/>
        <w:autoSpaceDN w:val="0"/>
        <w:spacing w:before="240"/>
        <w:ind w:left="720"/>
        <w:rPr>
          <w:b/>
          <w:bCs/>
        </w:rPr>
      </w:pPr>
      <w:r w:rsidRPr="00D740A9">
        <w:t>Th</w:t>
      </w:r>
      <w:r w:rsidR="00A21860">
        <w:t xml:space="preserve">e strategy and capital programme will improve the quality of homes to meet </w:t>
      </w:r>
      <w:r w:rsidR="00FD3E74">
        <w:t>the Decent Homes Standard</w:t>
      </w:r>
      <w:r w:rsidR="00A21860">
        <w:t>.</w:t>
      </w:r>
      <w:r w:rsidR="00FD3E74">
        <w:t xml:space="preserve"> </w:t>
      </w:r>
    </w:p>
    <w:p w14:paraId="002D77C1" w14:textId="6B57C934" w:rsidR="00F72A29" w:rsidRDefault="00F72A29" w:rsidP="00F55B78">
      <w:pPr>
        <w:ind w:left="720"/>
        <w:rPr>
          <w:rFonts w:cs="Arial"/>
          <w:szCs w:val="24"/>
          <w:lang w:val="en-US"/>
        </w:rPr>
      </w:pPr>
    </w:p>
    <w:p w14:paraId="551EB0AD" w14:textId="7489AED8" w:rsidR="00F72A29" w:rsidRPr="00786D57" w:rsidRDefault="00894A1A" w:rsidP="00786D57">
      <w:pPr>
        <w:pStyle w:val="ListParagraph"/>
        <w:numPr>
          <w:ilvl w:val="1"/>
          <w:numId w:val="13"/>
        </w:numPr>
        <w:rPr>
          <w:rFonts w:cs="Arial"/>
          <w:b/>
          <w:bCs/>
          <w:szCs w:val="24"/>
          <w:lang w:val="en-US"/>
        </w:rPr>
      </w:pPr>
      <w:r>
        <w:rPr>
          <w:rFonts w:cs="Arial"/>
          <w:b/>
          <w:bCs/>
          <w:szCs w:val="24"/>
          <w:lang w:val="en-US"/>
        </w:rPr>
        <w:tab/>
      </w:r>
      <w:r w:rsidR="00632E87" w:rsidRPr="00786D57">
        <w:rPr>
          <w:rFonts w:cs="Arial"/>
          <w:b/>
          <w:bCs/>
          <w:szCs w:val="24"/>
          <w:lang w:val="en-US"/>
        </w:rPr>
        <w:t xml:space="preserve">Moving towards a 60/40 split for capital and revenue with an </w:t>
      </w:r>
      <w:r w:rsidR="003D69F9" w:rsidRPr="00786D57">
        <w:rPr>
          <w:rFonts w:cs="Arial"/>
          <w:b/>
          <w:bCs/>
          <w:szCs w:val="24"/>
          <w:lang w:val="en-US"/>
        </w:rPr>
        <w:t xml:space="preserve">   </w:t>
      </w:r>
      <w:r>
        <w:rPr>
          <w:rFonts w:cs="Arial"/>
          <w:b/>
          <w:bCs/>
          <w:szCs w:val="24"/>
          <w:lang w:val="en-US"/>
        </w:rPr>
        <w:tab/>
      </w:r>
      <w:r w:rsidR="00632E87" w:rsidRPr="00786D57">
        <w:rPr>
          <w:rFonts w:cs="Arial"/>
          <w:b/>
          <w:bCs/>
          <w:szCs w:val="24"/>
          <w:lang w:val="en-US"/>
        </w:rPr>
        <w:t>active</w:t>
      </w:r>
      <w:r w:rsidR="00965EC7" w:rsidRPr="00786D57">
        <w:rPr>
          <w:rFonts w:cs="Arial"/>
          <w:b/>
          <w:bCs/>
          <w:szCs w:val="24"/>
          <w:lang w:val="en-US"/>
        </w:rPr>
        <w:t xml:space="preserve"> </w:t>
      </w:r>
      <w:r w:rsidR="00632E87" w:rsidRPr="00786D57">
        <w:rPr>
          <w:rFonts w:cs="Arial"/>
          <w:b/>
          <w:bCs/>
          <w:szCs w:val="24"/>
          <w:lang w:val="en-US"/>
        </w:rPr>
        <w:t>asset management approach</w:t>
      </w:r>
    </w:p>
    <w:p w14:paraId="52291749" w14:textId="6DD9FF05" w:rsidR="00130E16" w:rsidRDefault="00130E16" w:rsidP="00F55B78">
      <w:pPr>
        <w:rPr>
          <w:rFonts w:cs="Arial"/>
          <w:b/>
          <w:bCs/>
          <w:szCs w:val="24"/>
          <w:lang w:val="en-US"/>
        </w:rPr>
      </w:pPr>
    </w:p>
    <w:p w14:paraId="5F194BB7" w14:textId="68D88A20" w:rsidR="00130E16" w:rsidRPr="00332240" w:rsidRDefault="00E40313" w:rsidP="00F55B78">
      <w:pPr>
        <w:ind w:left="668"/>
        <w:rPr>
          <w:rFonts w:cs="Arial"/>
          <w:szCs w:val="24"/>
          <w:lang w:val="en-US"/>
        </w:rPr>
      </w:pPr>
      <w:r>
        <w:rPr>
          <w:rFonts w:cs="Arial"/>
          <w:szCs w:val="24"/>
          <w:lang w:val="en-US"/>
        </w:rPr>
        <w:t>The AMS w</w:t>
      </w:r>
      <w:r w:rsidR="00A21860">
        <w:rPr>
          <w:rFonts w:cs="Arial"/>
          <w:szCs w:val="24"/>
          <w:lang w:val="en-US"/>
        </w:rPr>
        <w:t xml:space="preserve">ill deliver better value for money, </w:t>
      </w:r>
      <w:r w:rsidR="00DC13C4" w:rsidRPr="00332240">
        <w:rPr>
          <w:rFonts w:cs="Arial"/>
          <w:szCs w:val="24"/>
          <w:lang w:val="en-US"/>
        </w:rPr>
        <w:t>reduc</w:t>
      </w:r>
      <w:r w:rsidR="00A21860">
        <w:rPr>
          <w:rFonts w:cs="Arial"/>
          <w:szCs w:val="24"/>
          <w:lang w:val="en-US"/>
        </w:rPr>
        <w:t xml:space="preserve">ing </w:t>
      </w:r>
      <w:r w:rsidR="00DC13C4" w:rsidRPr="00332240">
        <w:rPr>
          <w:rFonts w:cs="Arial"/>
          <w:szCs w:val="24"/>
          <w:lang w:val="en-US"/>
        </w:rPr>
        <w:t xml:space="preserve">the requirement of </w:t>
      </w:r>
      <w:r w:rsidR="00F57EAF">
        <w:rPr>
          <w:rFonts w:cs="Arial"/>
          <w:szCs w:val="24"/>
          <w:lang w:val="en-US"/>
        </w:rPr>
        <w:t xml:space="preserve">costly </w:t>
      </w:r>
      <w:r w:rsidR="00DC13C4" w:rsidRPr="00332240">
        <w:rPr>
          <w:rFonts w:cs="Arial"/>
          <w:szCs w:val="24"/>
          <w:lang w:val="en-US"/>
        </w:rPr>
        <w:t xml:space="preserve">ongoing </w:t>
      </w:r>
      <w:r w:rsidR="00153D50">
        <w:rPr>
          <w:rFonts w:cs="Arial"/>
          <w:szCs w:val="24"/>
          <w:lang w:val="en-US"/>
        </w:rPr>
        <w:t xml:space="preserve">contingent </w:t>
      </w:r>
      <w:r w:rsidR="00DC13C4" w:rsidRPr="00332240">
        <w:rPr>
          <w:rFonts w:cs="Arial"/>
          <w:szCs w:val="24"/>
          <w:lang w:val="en-US"/>
        </w:rPr>
        <w:t>repairs</w:t>
      </w:r>
      <w:r w:rsidR="008378C7" w:rsidRPr="00332240">
        <w:rPr>
          <w:rFonts w:cs="Arial"/>
          <w:szCs w:val="24"/>
          <w:lang w:val="en-US"/>
        </w:rPr>
        <w:t xml:space="preserve"> </w:t>
      </w:r>
      <w:r w:rsidR="00F57EAF">
        <w:rPr>
          <w:rFonts w:cs="Arial"/>
          <w:szCs w:val="24"/>
          <w:lang w:val="en-US"/>
        </w:rPr>
        <w:t>to blocks</w:t>
      </w:r>
      <w:r w:rsidR="008378C7" w:rsidRPr="00332240">
        <w:rPr>
          <w:rFonts w:cs="Arial"/>
          <w:szCs w:val="24"/>
          <w:lang w:val="en-US"/>
        </w:rPr>
        <w:t xml:space="preserve"> </w:t>
      </w:r>
      <w:r w:rsidR="00153D50">
        <w:rPr>
          <w:rFonts w:cs="Arial"/>
          <w:szCs w:val="24"/>
          <w:lang w:val="en-US"/>
        </w:rPr>
        <w:t>as well as</w:t>
      </w:r>
      <w:r w:rsidR="00F57EAF">
        <w:rPr>
          <w:rFonts w:cs="Arial"/>
          <w:szCs w:val="24"/>
          <w:lang w:val="en-US"/>
        </w:rPr>
        <w:t xml:space="preserve"> </w:t>
      </w:r>
      <w:r w:rsidR="00153D50">
        <w:rPr>
          <w:rFonts w:cs="Arial"/>
          <w:szCs w:val="24"/>
          <w:lang w:val="en-US"/>
        </w:rPr>
        <w:t xml:space="preserve">general </w:t>
      </w:r>
      <w:r w:rsidR="00F57EAF">
        <w:rPr>
          <w:rFonts w:cs="Arial"/>
          <w:szCs w:val="24"/>
          <w:lang w:val="en-US"/>
        </w:rPr>
        <w:t>repairs relate</w:t>
      </w:r>
      <w:r w:rsidR="00153D50">
        <w:rPr>
          <w:rFonts w:cs="Arial"/>
          <w:szCs w:val="24"/>
          <w:lang w:val="en-US"/>
        </w:rPr>
        <w:t>d</w:t>
      </w:r>
      <w:r w:rsidR="00F57EAF">
        <w:rPr>
          <w:rFonts w:cs="Arial"/>
          <w:szCs w:val="24"/>
          <w:lang w:val="en-US"/>
        </w:rPr>
        <w:t xml:space="preserve"> to</w:t>
      </w:r>
      <w:r w:rsidR="001A118E">
        <w:rPr>
          <w:rFonts w:cs="Arial"/>
          <w:szCs w:val="24"/>
          <w:lang w:val="en-US"/>
        </w:rPr>
        <w:t xml:space="preserve"> the</w:t>
      </w:r>
      <w:r w:rsidR="008378C7" w:rsidRPr="00332240">
        <w:rPr>
          <w:rFonts w:cs="Arial"/>
          <w:szCs w:val="24"/>
          <w:lang w:val="en-US"/>
        </w:rPr>
        <w:t xml:space="preserve"> </w:t>
      </w:r>
      <w:r w:rsidR="001A118E">
        <w:rPr>
          <w:rFonts w:cs="Arial"/>
          <w:szCs w:val="24"/>
          <w:lang w:val="en-US"/>
        </w:rPr>
        <w:t>maintenance of communal areas</w:t>
      </w:r>
      <w:r w:rsidR="00A21860">
        <w:rPr>
          <w:rFonts w:cs="Arial"/>
          <w:szCs w:val="24"/>
          <w:lang w:val="en-US"/>
        </w:rPr>
        <w:t>, improving homes for our residents</w:t>
      </w:r>
      <w:r w:rsidR="001A118E">
        <w:rPr>
          <w:rFonts w:cs="Arial"/>
          <w:szCs w:val="24"/>
          <w:lang w:val="en-US"/>
        </w:rPr>
        <w:t>.</w:t>
      </w:r>
    </w:p>
    <w:p w14:paraId="232D36AE" w14:textId="75F39023" w:rsidR="00130E16" w:rsidRDefault="00130E16" w:rsidP="00F55B78">
      <w:pPr>
        <w:rPr>
          <w:rFonts w:cs="Arial"/>
          <w:b/>
          <w:bCs/>
          <w:szCs w:val="24"/>
          <w:lang w:val="en-US"/>
        </w:rPr>
      </w:pPr>
    </w:p>
    <w:p w14:paraId="3375021C" w14:textId="7E5D7670" w:rsidR="005564DE" w:rsidRPr="00332240" w:rsidRDefault="00647D02" w:rsidP="00F55B78">
      <w:pPr>
        <w:rPr>
          <w:b/>
          <w:bCs/>
        </w:rPr>
      </w:pPr>
      <w:r>
        <w:rPr>
          <w:rFonts w:cs="Arial"/>
          <w:szCs w:val="24"/>
          <w:lang w:val="en-US"/>
        </w:rPr>
        <w:t>1</w:t>
      </w:r>
      <w:r w:rsidR="00894A1A">
        <w:rPr>
          <w:rFonts w:cs="Arial"/>
          <w:szCs w:val="24"/>
          <w:lang w:val="en-US"/>
        </w:rPr>
        <w:t>1</w:t>
      </w:r>
      <w:r w:rsidR="00097F17">
        <w:rPr>
          <w:rFonts w:cs="Arial"/>
          <w:szCs w:val="24"/>
          <w:lang w:val="en-US"/>
        </w:rPr>
        <w:t>.4</w:t>
      </w:r>
      <w:r>
        <w:rPr>
          <w:rFonts w:cs="Arial"/>
          <w:szCs w:val="24"/>
          <w:lang w:val="en-US"/>
        </w:rPr>
        <w:t xml:space="preserve">   </w:t>
      </w:r>
      <w:r w:rsidR="00D0381E" w:rsidRPr="00332240">
        <w:rPr>
          <w:b/>
        </w:rPr>
        <w:t>Improving the environment and addressing climate change</w:t>
      </w:r>
      <w:r w:rsidR="005564DE" w:rsidRPr="00332240">
        <w:t xml:space="preserve"> </w:t>
      </w:r>
    </w:p>
    <w:p w14:paraId="296E5418" w14:textId="1FED53C8" w:rsidR="00894A1A" w:rsidRDefault="00C65F5F" w:rsidP="00894A1A">
      <w:pPr>
        <w:pStyle w:val="ListParagraph"/>
        <w:autoSpaceDE w:val="0"/>
        <w:autoSpaceDN w:val="0"/>
        <w:spacing w:before="240"/>
        <w:rPr>
          <w:b/>
          <w:bCs/>
        </w:rPr>
      </w:pPr>
      <w:r>
        <w:rPr>
          <w:szCs w:val="24"/>
        </w:rPr>
        <w:t xml:space="preserve">A new retrofit agenda </w:t>
      </w:r>
      <w:r w:rsidR="005564DE" w:rsidRPr="7412731A">
        <w:rPr>
          <w:szCs w:val="24"/>
        </w:rPr>
        <w:t>will bring homes to a comfortable home standard, eliminate damp and moul</w:t>
      </w:r>
      <w:r w:rsidR="005564DE">
        <w:rPr>
          <w:szCs w:val="24"/>
        </w:rPr>
        <w:t xml:space="preserve">d. </w:t>
      </w:r>
      <w:r w:rsidR="005564DE" w:rsidRPr="7412731A">
        <w:rPr>
          <w:szCs w:val="24"/>
        </w:rPr>
        <w:t xml:space="preserve">Energy efficiency upgrades will </w:t>
      </w:r>
      <w:r w:rsidR="0063309F">
        <w:rPr>
          <w:szCs w:val="24"/>
        </w:rPr>
        <w:t xml:space="preserve">reduce carbon emissions and </w:t>
      </w:r>
      <w:r w:rsidR="005564DE" w:rsidRPr="7412731A">
        <w:rPr>
          <w:szCs w:val="24"/>
        </w:rPr>
        <w:t>save residents money, making homes more affordable to comfortably operate.</w:t>
      </w:r>
    </w:p>
    <w:p w14:paraId="4B42E5C4" w14:textId="6C99FF9C" w:rsidR="00BD5330" w:rsidRPr="00BD5330" w:rsidRDefault="00965EC7" w:rsidP="00786D57">
      <w:pPr>
        <w:pStyle w:val="ListParagraph"/>
        <w:autoSpaceDE w:val="0"/>
        <w:autoSpaceDN w:val="0"/>
        <w:spacing w:before="240"/>
      </w:pPr>
      <w:r w:rsidRPr="00332240">
        <w:rPr>
          <w:b/>
        </w:rPr>
        <w:t>T</w:t>
      </w:r>
      <w:r w:rsidR="00D0381E" w:rsidRPr="00332240">
        <w:rPr>
          <w:b/>
        </w:rPr>
        <w:t>ackling poverty and inequality</w:t>
      </w:r>
      <w:r w:rsidR="005564DE" w:rsidRPr="00332240">
        <w:rPr>
          <w:b/>
        </w:rPr>
        <w:t xml:space="preserve"> /Addressing health and social </w:t>
      </w:r>
      <w:r w:rsidR="00647D02" w:rsidRPr="00332240">
        <w:rPr>
          <w:b/>
        </w:rPr>
        <w:t xml:space="preserve"> </w:t>
      </w:r>
      <w:r w:rsidR="00E40313">
        <w:rPr>
          <w:b/>
        </w:rPr>
        <w:t xml:space="preserve">     </w:t>
      </w:r>
      <w:r w:rsidR="005564DE" w:rsidRPr="00332240">
        <w:rPr>
          <w:b/>
        </w:rPr>
        <w:t>care inequality</w:t>
      </w:r>
    </w:p>
    <w:p w14:paraId="3DF3324D" w14:textId="46128D35" w:rsidR="005564DE" w:rsidRPr="00786D57" w:rsidRDefault="003A49C0" w:rsidP="00786D57">
      <w:pPr>
        <w:spacing w:after="160" w:line="252" w:lineRule="auto"/>
        <w:ind w:left="720"/>
        <w:contextualSpacing/>
        <w:rPr>
          <w:szCs w:val="24"/>
        </w:rPr>
      </w:pPr>
      <w:r w:rsidRPr="00ED70C5">
        <w:rPr>
          <w:szCs w:val="24"/>
        </w:rPr>
        <w:t>Helping to e</w:t>
      </w:r>
      <w:r w:rsidR="005564DE" w:rsidRPr="00ED70C5">
        <w:rPr>
          <w:szCs w:val="24"/>
        </w:rPr>
        <w:t>liminat</w:t>
      </w:r>
      <w:r w:rsidRPr="00ED70C5">
        <w:rPr>
          <w:szCs w:val="24"/>
        </w:rPr>
        <w:t>e</w:t>
      </w:r>
      <w:r w:rsidR="005564DE" w:rsidRPr="00A01141">
        <w:rPr>
          <w:szCs w:val="24"/>
        </w:rPr>
        <w:t xml:space="preserve"> fuel poverty for households results in community wealth generation by reducing the overall impact of heating and fuel costs </w:t>
      </w:r>
      <w:r w:rsidR="00412056" w:rsidRPr="00A01141">
        <w:rPr>
          <w:szCs w:val="24"/>
        </w:rPr>
        <w:t>for</w:t>
      </w:r>
      <w:r w:rsidR="005564DE" w:rsidRPr="00A01141">
        <w:rPr>
          <w:szCs w:val="24"/>
        </w:rPr>
        <w:t xml:space="preserve"> reside</w:t>
      </w:r>
      <w:r w:rsidR="00412056" w:rsidRPr="00A01141">
        <w:rPr>
          <w:szCs w:val="24"/>
        </w:rPr>
        <w:t>nts</w:t>
      </w:r>
      <w:r w:rsidR="005564DE" w:rsidRPr="00165507">
        <w:rPr>
          <w:szCs w:val="24"/>
        </w:rPr>
        <w:t>, as well as draughts, reducing negative impacts on health, hospital admissions, and length of stay. There is a direct</w:t>
      </w:r>
      <w:r w:rsidR="005564DE" w:rsidRPr="00786D57">
        <w:rPr>
          <w:szCs w:val="24"/>
        </w:rPr>
        <w:t xml:space="preserve"> correlation between fuel poverty and health, as evidenced by the </w:t>
      </w:r>
      <w:r w:rsidR="00272663" w:rsidRPr="00786D57">
        <w:rPr>
          <w:szCs w:val="24"/>
        </w:rPr>
        <w:t>previous</w:t>
      </w:r>
      <w:r w:rsidR="005564DE" w:rsidRPr="00786D57">
        <w:rPr>
          <w:szCs w:val="24"/>
        </w:rPr>
        <w:t xml:space="preserve"> COVID-19 outbreak, which was felt most severely by communities known to have higher fuel poverty rates.</w:t>
      </w:r>
    </w:p>
    <w:p w14:paraId="090D4D51" w14:textId="77777777" w:rsidR="00BD5330" w:rsidRDefault="00BD5330" w:rsidP="00F55B78">
      <w:pPr>
        <w:autoSpaceDE w:val="0"/>
        <w:autoSpaceDN w:val="0"/>
        <w:spacing w:before="240"/>
        <w:rPr>
          <w:bCs/>
        </w:rPr>
      </w:pPr>
    </w:p>
    <w:p w14:paraId="74ED77AB" w14:textId="14028370" w:rsidR="00307F76" w:rsidRPr="00332240" w:rsidRDefault="00647D02" w:rsidP="00F55B78">
      <w:pPr>
        <w:autoSpaceDE w:val="0"/>
        <w:autoSpaceDN w:val="0"/>
        <w:spacing w:before="240"/>
        <w:rPr>
          <w:b/>
        </w:rPr>
      </w:pPr>
      <w:r w:rsidRPr="00332240">
        <w:rPr>
          <w:bCs/>
        </w:rPr>
        <w:t>1</w:t>
      </w:r>
      <w:r w:rsidR="00894A1A">
        <w:rPr>
          <w:bCs/>
        </w:rPr>
        <w:t>1</w:t>
      </w:r>
      <w:r w:rsidRPr="00332240">
        <w:rPr>
          <w:bCs/>
        </w:rPr>
        <w:t>.</w:t>
      </w:r>
      <w:r w:rsidR="00894A1A">
        <w:rPr>
          <w:bCs/>
        </w:rPr>
        <w:t>5</w:t>
      </w:r>
      <w:r>
        <w:rPr>
          <w:b/>
        </w:rPr>
        <w:t xml:space="preserve">    </w:t>
      </w:r>
      <w:r w:rsidR="00A21860">
        <w:rPr>
          <w:b/>
        </w:rPr>
        <w:t>Deliver Social Value</w:t>
      </w:r>
    </w:p>
    <w:p w14:paraId="2DBD4BB4" w14:textId="61295870" w:rsidR="00A4383F" w:rsidRDefault="00A4383F" w:rsidP="00F55B78">
      <w:pPr>
        <w:pStyle w:val="ListParagraph"/>
        <w:spacing w:after="160" w:line="252" w:lineRule="auto"/>
        <w:contextualSpacing/>
        <w:rPr>
          <w:szCs w:val="24"/>
        </w:rPr>
      </w:pPr>
      <w:r w:rsidRPr="7412731A">
        <w:rPr>
          <w:szCs w:val="24"/>
        </w:rPr>
        <w:t>The</w:t>
      </w:r>
      <w:r w:rsidR="00A21860">
        <w:rPr>
          <w:szCs w:val="24"/>
        </w:rPr>
        <w:t xml:space="preserve"> capital programme will create </w:t>
      </w:r>
      <w:r w:rsidRPr="7412731A">
        <w:rPr>
          <w:szCs w:val="24"/>
        </w:rPr>
        <w:t>job</w:t>
      </w:r>
      <w:r w:rsidR="00A21860">
        <w:rPr>
          <w:szCs w:val="24"/>
        </w:rPr>
        <w:t xml:space="preserve">s, and </w:t>
      </w:r>
      <w:r w:rsidRPr="7412731A">
        <w:rPr>
          <w:szCs w:val="24"/>
        </w:rPr>
        <w:t>apprenticeships for those looking to upskill or move into the green economy.</w:t>
      </w:r>
    </w:p>
    <w:p w14:paraId="3DCB5805" w14:textId="77777777" w:rsidR="00D0376A" w:rsidRDefault="00D0376A" w:rsidP="00F55B78">
      <w:pPr>
        <w:pStyle w:val="Heading2"/>
        <w:spacing w:before="480" w:after="240"/>
      </w:pPr>
      <w:r>
        <w:t>Section 3 - Statutory Officer Clearance</w:t>
      </w:r>
    </w:p>
    <w:p w14:paraId="3CFC90E8" w14:textId="77777777" w:rsidR="00D0376A" w:rsidRPr="00A66326" w:rsidRDefault="00D0376A" w:rsidP="00F55B78">
      <w:pPr>
        <w:rPr>
          <w:sz w:val="28"/>
        </w:rPr>
      </w:pPr>
      <w:r w:rsidRPr="00A66326">
        <w:rPr>
          <w:b/>
          <w:sz w:val="28"/>
        </w:rPr>
        <w:t xml:space="preserve">Statutory Officer: </w:t>
      </w:r>
      <w:r>
        <w:rPr>
          <w:b/>
          <w:sz w:val="28"/>
        </w:rPr>
        <w:t>Tasleem Kazmi</w:t>
      </w:r>
      <w:r w:rsidRPr="00A66326">
        <w:rPr>
          <w:b/>
          <w:sz w:val="28"/>
        </w:rPr>
        <w:t xml:space="preserve"> </w:t>
      </w:r>
    </w:p>
    <w:p w14:paraId="404FECFF" w14:textId="77777777" w:rsidR="00D0376A" w:rsidRPr="00A66326" w:rsidRDefault="00D0376A" w:rsidP="00F55B78">
      <w:r w:rsidRPr="00A66326">
        <w:t>Signed on behalf of the Chief Financial Officer</w:t>
      </w:r>
    </w:p>
    <w:p w14:paraId="5543CEDF" w14:textId="72B7BDC2" w:rsidR="00D0376A" w:rsidRDefault="00D0376A" w:rsidP="00F55B78">
      <w:pPr>
        <w:spacing w:after="480"/>
        <w:rPr>
          <w:sz w:val="28"/>
        </w:rPr>
      </w:pPr>
      <w:r w:rsidRPr="00A66326">
        <w:rPr>
          <w:b/>
          <w:sz w:val="28"/>
        </w:rPr>
        <w:t xml:space="preserve">Date:  </w:t>
      </w:r>
      <w:r w:rsidR="00CB7CBB">
        <w:rPr>
          <w:b/>
          <w:sz w:val="28"/>
        </w:rPr>
        <w:t>09/01</w:t>
      </w:r>
      <w:r w:rsidR="009F1F13">
        <w:rPr>
          <w:b/>
          <w:sz w:val="28"/>
        </w:rPr>
        <w:t>/</w:t>
      </w:r>
      <w:r w:rsidR="00723B76">
        <w:rPr>
          <w:b/>
          <w:sz w:val="28"/>
        </w:rPr>
        <w:t>202</w:t>
      </w:r>
      <w:r w:rsidR="009F1F13">
        <w:rPr>
          <w:b/>
          <w:sz w:val="28"/>
        </w:rPr>
        <w:t>3</w:t>
      </w:r>
    </w:p>
    <w:p w14:paraId="256431DB" w14:textId="77777777" w:rsidR="00D0376A" w:rsidRDefault="00D0376A" w:rsidP="00F55B78">
      <w:pPr>
        <w:rPr>
          <w:b/>
          <w:sz w:val="28"/>
        </w:rPr>
      </w:pPr>
      <w:r w:rsidRPr="00A66326">
        <w:rPr>
          <w:b/>
          <w:sz w:val="28"/>
        </w:rPr>
        <w:t xml:space="preserve">Statutory Officer: </w:t>
      </w:r>
      <w:r>
        <w:rPr>
          <w:b/>
          <w:sz w:val="28"/>
        </w:rPr>
        <w:t>Stephen Dorrian</w:t>
      </w:r>
    </w:p>
    <w:p w14:paraId="0FD9672B" w14:textId="77777777" w:rsidR="00D0376A" w:rsidRPr="005A5032" w:rsidRDefault="00D0376A" w:rsidP="00F55B78">
      <w:pPr>
        <w:rPr>
          <w:sz w:val="28"/>
        </w:rPr>
      </w:pPr>
      <w:r w:rsidRPr="00A66326">
        <w:t>Signed on behalf of the Monitoring Officer</w:t>
      </w:r>
    </w:p>
    <w:p w14:paraId="22579079" w14:textId="0DF7A4E7" w:rsidR="00D0376A" w:rsidRPr="003313EA" w:rsidRDefault="00D0376A" w:rsidP="00F55B78">
      <w:pPr>
        <w:spacing w:after="480"/>
        <w:rPr>
          <w:sz w:val="28"/>
        </w:rPr>
      </w:pPr>
      <w:r w:rsidRPr="00A66326">
        <w:rPr>
          <w:b/>
          <w:sz w:val="28"/>
        </w:rPr>
        <w:t xml:space="preserve">Date:  </w:t>
      </w:r>
      <w:r w:rsidR="00CB7CBB">
        <w:rPr>
          <w:b/>
          <w:sz w:val="28"/>
        </w:rPr>
        <w:t>05/01/</w:t>
      </w:r>
      <w:r w:rsidR="00723B76">
        <w:rPr>
          <w:b/>
          <w:sz w:val="28"/>
        </w:rPr>
        <w:t>202</w:t>
      </w:r>
      <w:r w:rsidR="00CB7CBB">
        <w:rPr>
          <w:b/>
          <w:sz w:val="28"/>
        </w:rPr>
        <w:t>3</w:t>
      </w:r>
    </w:p>
    <w:p w14:paraId="144E401C" w14:textId="77777777" w:rsidR="00D0376A" w:rsidRPr="00A66326" w:rsidRDefault="00D0376A" w:rsidP="00F55B78">
      <w:pPr>
        <w:rPr>
          <w:sz w:val="28"/>
        </w:rPr>
      </w:pPr>
      <w:r>
        <w:rPr>
          <w:b/>
          <w:sz w:val="28"/>
        </w:rPr>
        <w:t>Chief</w:t>
      </w:r>
      <w:r w:rsidRPr="00A66326">
        <w:rPr>
          <w:b/>
          <w:sz w:val="28"/>
        </w:rPr>
        <w:t xml:space="preserve"> Officer:  </w:t>
      </w:r>
      <w:r>
        <w:rPr>
          <w:b/>
          <w:sz w:val="28"/>
        </w:rPr>
        <w:t>Dipti Patel</w:t>
      </w:r>
    </w:p>
    <w:p w14:paraId="18FE36F5" w14:textId="77777777" w:rsidR="00D0376A" w:rsidRPr="00A66326" w:rsidRDefault="00D0376A" w:rsidP="00F55B78">
      <w:r w:rsidRPr="00A66326">
        <w:t xml:space="preserve">Signed </w:t>
      </w:r>
      <w:r>
        <w:t>off by the Corporate Director Community</w:t>
      </w:r>
    </w:p>
    <w:p w14:paraId="6B8F251A" w14:textId="63667051" w:rsidR="00D0376A" w:rsidRPr="00A66326" w:rsidRDefault="00D0376A" w:rsidP="00F55B78">
      <w:pPr>
        <w:spacing w:after="480"/>
        <w:rPr>
          <w:sz w:val="28"/>
        </w:rPr>
      </w:pPr>
      <w:r w:rsidRPr="00A66326">
        <w:rPr>
          <w:b/>
          <w:sz w:val="28"/>
        </w:rPr>
        <w:t xml:space="preserve">Date:  </w:t>
      </w:r>
      <w:r w:rsidR="007F41B8">
        <w:rPr>
          <w:b/>
          <w:sz w:val="28"/>
        </w:rPr>
        <w:t xml:space="preserve">09/01/2023 </w:t>
      </w:r>
    </w:p>
    <w:p w14:paraId="6D8F36F3" w14:textId="77777777" w:rsidR="00D0376A" w:rsidRDefault="00D0376A" w:rsidP="00F55B78">
      <w:pPr>
        <w:rPr>
          <w:b/>
          <w:sz w:val="28"/>
        </w:rPr>
      </w:pPr>
      <w:r>
        <w:rPr>
          <w:b/>
          <w:sz w:val="28"/>
        </w:rPr>
        <w:lastRenderedPageBreak/>
        <w:t>Head of Procurement</w:t>
      </w:r>
      <w:r w:rsidRPr="00A66326">
        <w:rPr>
          <w:b/>
          <w:sz w:val="28"/>
        </w:rPr>
        <w:t>:</w:t>
      </w:r>
      <w:r>
        <w:rPr>
          <w:b/>
          <w:sz w:val="28"/>
        </w:rPr>
        <w:t xml:space="preserve"> Nimesh Mehta</w:t>
      </w:r>
      <w:r w:rsidRPr="00A66326">
        <w:rPr>
          <w:b/>
          <w:sz w:val="28"/>
        </w:rPr>
        <w:t xml:space="preserve">  </w:t>
      </w:r>
    </w:p>
    <w:p w14:paraId="2A3C06AF" w14:textId="77777777" w:rsidR="00D0376A" w:rsidRPr="00297385" w:rsidRDefault="00D0376A" w:rsidP="00F55B78">
      <w:pPr>
        <w:rPr>
          <w:bCs/>
          <w:szCs w:val="18"/>
        </w:rPr>
      </w:pPr>
      <w:r w:rsidRPr="00297385">
        <w:rPr>
          <w:bCs/>
          <w:szCs w:val="18"/>
        </w:rPr>
        <w:t xml:space="preserve">Signed off by the Head of Procurement </w:t>
      </w:r>
    </w:p>
    <w:p w14:paraId="5BD92B88" w14:textId="707DFB45" w:rsidR="00D0376A" w:rsidRPr="003313EA" w:rsidRDefault="00D0376A" w:rsidP="00F55B78">
      <w:pPr>
        <w:spacing w:after="480"/>
        <w:rPr>
          <w:sz w:val="28"/>
        </w:rPr>
      </w:pPr>
      <w:r w:rsidRPr="00A66326">
        <w:rPr>
          <w:b/>
          <w:sz w:val="28"/>
        </w:rPr>
        <w:t xml:space="preserve">Date:  </w:t>
      </w:r>
      <w:r w:rsidR="000B52D8">
        <w:rPr>
          <w:b/>
          <w:sz w:val="28"/>
        </w:rPr>
        <w:t>03/01/2023</w:t>
      </w:r>
    </w:p>
    <w:p w14:paraId="3567F6F2" w14:textId="77777777" w:rsidR="00D0376A" w:rsidRPr="00A66326" w:rsidRDefault="00D0376A" w:rsidP="00F55B78">
      <w:pPr>
        <w:rPr>
          <w:sz w:val="28"/>
        </w:rPr>
      </w:pPr>
      <w:r>
        <w:rPr>
          <w:b/>
          <w:sz w:val="28"/>
        </w:rPr>
        <w:t>Head of Internal Audit</w:t>
      </w:r>
      <w:r w:rsidRPr="00A66326">
        <w:rPr>
          <w:b/>
          <w:sz w:val="28"/>
        </w:rPr>
        <w:t xml:space="preserve">:  </w:t>
      </w:r>
      <w:r>
        <w:rPr>
          <w:b/>
          <w:sz w:val="28"/>
        </w:rPr>
        <w:t>Susan Dixson</w:t>
      </w:r>
    </w:p>
    <w:p w14:paraId="70796306" w14:textId="77777777" w:rsidR="00D0376A" w:rsidRPr="00A66326" w:rsidRDefault="00D0376A" w:rsidP="00F55B78">
      <w:r>
        <w:t xml:space="preserve">Signed off </w:t>
      </w:r>
      <w:r w:rsidRPr="00A66326">
        <w:t xml:space="preserve">by the </w:t>
      </w:r>
      <w:r>
        <w:t>Head of Internal Audit</w:t>
      </w:r>
    </w:p>
    <w:p w14:paraId="7BD8D776" w14:textId="6E714C2C" w:rsidR="00D0376A" w:rsidRDefault="00D0376A" w:rsidP="00F55B78">
      <w:pPr>
        <w:pStyle w:val="Heading2"/>
        <w:spacing w:after="240"/>
        <w:rPr>
          <w:rFonts w:ascii="Arial" w:hAnsi="Arial" w:cs="Times New Roman"/>
          <w:bCs w:val="0"/>
          <w:sz w:val="28"/>
          <w:szCs w:val="20"/>
        </w:rPr>
      </w:pPr>
      <w:r w:rsidRPr="00D91D10">
        <w:rPr>
          <w:rFonts w:ascii="Arial" w:hAnsi="Arial" w:cs="Times New Roman"/>
          <w:bCs w:val="0"/>
          <w:sz w:val="28"/>
          <w:szCs w:val="20"/>
        </w:rPr>
        <w:t>Date:</w:t>
      </w:r>
      <w:r>
        <w:rPr>
          <w:rFonts w:ascii="Arial" w:hAnsi="Arial" w:cs="Times New Roman"/>
          <w:bCs w:val="0"/>
          <w:sz w:val="28"/>
          <w:szCs w:val="20"/>
        </w:rPr>
        <w:t xml:space="preserve"> </w:t>
      </w:r>
      <w:r w:rsidR="000B52D8">
        <w:rPr>
          <w:rFonts w:ascii="Arial" w:hAnsi="Arial" w:cs="Times New Roman"/>
          <w:bCs w:val="0"/>
          <w:sz w:val="28"/>
          <w:szCs w:val="20"/>
        </w:rPr>
        <w:t>09/01/2023</w:t>
      </w:r>
    </w:p>
    <w:p w14:paraId="140CEB7D" w14:textId="6F7C8797" w:rsidR="000D5BB4" w:rsidRDefault="000D5BB4" w:rsidP="000D5BB4">
      <w:pPr>
        <w:spacing w:after="480"/>
        <w:rPr>
          <w:b/>
          <w:bCs/>
        </w:rPr>
      </w:pPr>
      <w:r>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Pr>
          <w:b/>
          <w:bCs/>
          <w:sz w:val="28"/>
        </w:rPr>
        <w:t xml:space="preserve">        </w:t>
      </w:r>
    </w:p>
    <w:p w14:paraId="48CEB47D" w14:textId="77777777" w:rsidR="00D0376A" w:rsidRPr="00435B5D" w:rsidRDefault="00D0376A" w:rsidP="00F55B78">
      <w:pPr>
        <w:pStyle w:val="Heading2"/>
        <w:spacing w:before="480" w:after="240"/>
      </w:pPr>
      <w:r>
        <w:t>Mandatory Checks</w:t>
      </w:r>
    </w:p>
    <w:p w14:paraId="3CEF0B88" w14:textId="77777777" w:rsidR="00D0376A" w:rsidRPr="000D5BB4" w:rsidRDefault="00D0376A" w:rsidP="00F55B78">
      <w:pPr>
        <w:pStyle w:val="Heading3"/>
        <w:ind w:left="0" w:firstLine="0"/>
        <w:jc w:val="left"/>
        <w:rPr>
          <w:b w:val="0"/>
          <w:bCs w:val="0"/>
        </w:rPr>
      </w:pPr>
      <w:r w:rsidRPr="003313EA">
        <w:t xml:space="preserve">Ward Councillors </w:t>
      </w:r>
      <w:r>
        <w:t xml:space="preserve">notified:  </w:t>
      </w:r>
      <w:r w:rsidRPr="000D5BB4">
        <w:rPr>
          <w:b w:val="0"/>
          <w:bCs w:val="0"/>
        </w:rPr>
        <w:t xml:space="preserve">NO, as it impacts on all Wards </w:t>
      </w:r>
    </w:p>
    <w:p w14:paraId="399A3E5E" w14:textId="77777777" w:rsidR="00D0376A" w:rsidRDefault="00D0376A" w:rsidP="00F55B78">
      <w:pPr>
        <w:autoSpaceDE w:val="0"/>
        <w:autoSpaceDN w:val="0"/>
        <w:adjustRightInd w:val="0"/>
        <w:rPr>
          <w:rFonts w:cs="Arial"/>
          <w:sz w:val="28"/>
          <w:szCs w:val="28"/>
          <w:lang w:eastAsia="en-GB"/>
        </w:rPr>
      </w:pPr>
      <w:r w:rsidRPr="00DB4876">
        <w:rPr>
          <w:rFonts w:cs="Arial"/>
          <w:b/>
          <w:bCs/>
          <w:sz w:val="28"/>
          <w:szCs w:val="28"/>
        </w:rPr>
        <w:t>EqIA carried out: YES</w:t>
      </w:r>
      <w:r>
        <w:t xml:space="preserve"> -</w:t>
      </w:r>
      <w:r w:rsidRPr="00DB4876">
        <w:rPr>
          <w:rFonts w:cs="Arial"/>
          <w:sz w:val="28"/>
          <w:szCs w:val="28"/>
          <w:lang w:eastAsia="en-GB"/>
        </w:rPr>
        <w:t xml:space="preserve"> </w:t>
      </w:r>
      <w:r>
        <w:rPr>
          <w:rFonts w:cs="Arial"/>
          <w:sz w:val="28"/>
          <w:szCs w:val="28"/>
          <w:lang w:eastAsia="en-GB"/>
        </w:rPr>
        <w:t>An overarching</w:t>
      </w:r>
    </w:p>
    <w:p w14:paraId="6D576D71" w14:textId="77777777" w:rsidR="00D0376A" w:rsidRPr="00202D79" w:rsidRDefault="00D0376A" w:rsidP="00F55B78">
      <w:pPr>
        <w:autoSpaceDE w:val="0"/>
        <w:autoSpaceDN w:val="0"/>
        <w:adjustRightInd w:val="0"/>
      </w:pPr>
      <w:r>
        <w:rPr>
          <w:rFonts w:cs="Arial"/>
          <w:sz w:val="28"/>
          <w:szCs w:val="28"/>
          <w:lang w:eastAsia="en-GB"/>
        </w:rPr>
        <w:t>EQIA was undertaken for the programme</w:t>
      </w:r>
      <w:r>
        <w:t xml:space="preserve"> </w:t>
      </w:r>
      <w:r w:rsidRPr="00E55D55">
        <w:rPr>
          <w:rFonts w:cs="Arial"/>
          <w:sz w:val="28"/>
          <w:szCs w:val="28"/>
          <w:lang w:eastAsia="en-GB"/>
        </w:rPr>
        <w:t>Directorate Equality Task Group</w:t>
      </w:r>
      <w:r>
        <w:rPr>
          <w:rFonts w:cs="Arial"/>
          <w:sz w:val="28"/>
          <w:szCs w:val="28"/>
          <w:lang w:eastAsia="en-GB"/>
        </w:rPr>
        <w:t>.</w:t>
      </w:r>
    </w:p>
    <w:p w14:paraId="1F03D1FC" w14:textId="139B4064" w:rsidR="00D0376A" w:rsidRPr="00303FD6" w:rsidRDefault="00D0376A" w:rsidP="009F2A29">
      <w:pPr>
        <w:pStyle w:val="Infotext"/>
        <w:rPr>
          <w:color w:val="FF0000"/>
        </w:rPr>
      </w:pPr>
      <w:r w:rsidRPr="00DB4876">
        <w:rPr>
          <w:b/>
          <w:bCs/>
        </w:rPr>
        <w:t>EqIA cleared by</w:t>
      </w:r>
      <w:r w:rsidRPr="00202D79">
        <w:t>:</w:t>
      </w:r>
      <w:r>
        <w:t xml:space="preserve"> </w:t>
      </w:r>
      <w:r>
        <w:rPr>
          <w:rFonts w:cs="Arial"/>
          <w:b/>
          <w:bCs/>
          <w:szCs w:val="28"/>
          <w:lang w:eastAsia="en-GB"/>
        </w:rPr>
        <w:t>(DETG) Chair</w:t>
      </w:r>
      <w:r>
        <w:t xml:space="preserve"> </w:t>
      </w:r>
    </w:p>
    <w:p w14:paraId="41E16C55" w14:textId="77777777" w:rsidR="00333FAA" w:rsidRDefault="00333FAA" w:rsidP="00F55B78">
      <w:pPr>
        <w:pStyle w:val="Heading2"/>
        <w:spacing w:before="480" w:after="240"/>
      </w:pPr>
      <w:r>
        <w:t xml:space="preserve">Section </w:t>
      </w:r>
      <w:r w:rsidR="00A20113">
        <w:t>4</w:t>
      </w:r>
      <w:r>
        <w:t xml:space="preserve"> - Contact Details and Background Papers</w:t>
      </w:r>
    </w:p>
    <w:p w14:paraId="2B69379A" w14:textId="08AE44B9" w:rsidR="00723B76" w:rsidRDefault="00333FAA" w:rsidP="00502FCD">
      <w:pPr>
        <w:pStyle w:val="Infotext"/>
      </w:pPr>
      <w:r w:rsidRPr="004E47FC">
        <w:rPr>
          <w:b/>
        </w:rPr>
        <w:t xml:space="preserve">Contact:  </w:t>
      </w:r>
      <w:r w:rsidR="00F55B78">
        <w:t>Rukshan Kariy</w:t>
      </w:r>
      <w:r w:rsidR="00502FCD">
        <w:t xml:space="preserve">, Interim Head of Asset Management, Place Directorate, </w:t>
      </w:r>
      <w:hyperlink r:id="rId14" w:history="1">
        <w:r w:rsidR="00502FCD" w:rsidRPr="00AD548C">
          <w:rPr>
            <w:rStyle w:val="Hyperlink"/>
          </w:rPr>
          <w:t>Rukshan.Kariy@harrow.gov.uk</w:t>
        </w:r>
      </w:hyperlink>
      <w:r w:rsidR="00502FCD">
        <w:t>, tel. 07927 548861</w:t>
      </w:r>
      <w:r w:rsidR="00F55B78">
        <w:t xml:space="preserve"> </w:t>
      </w:r>
    </w:p>
    <w:p w14:paraId="208F2914" w14:textId="77777777" w:rsidR="00502FCD" w:rsidRDefault="00502FCD" w:rsidP="00502FCD">
      <w:pPr>
        <w:pStyle w:val="Infotext"/>
        <w:rPr>
          <w:b/>
        </w:rPr>
      </w:pPr>
    </w:p>
    <w:p w14:paraId="25BFDAD7" w14:textId="7B3F84A3" w:rsidR="00723B76" w:rsidRDefault="00723B76" w:rsidP="00F55B78">
      <w:pPr>
        <w:pStyle w:val="Infotext"/>
        <w:spacing w:after="240"/>
        <w:rPr>
          <w:b/>
        </w:rPr>
      </w:pPr>
      <w:r w:rsidRPr="004E47FC">
        <w:rPr>
          <w:b/>
        </w:rPr>
        <w:t xml:space="preserve">Background Papers: </w:t>
      </w:r>
      <w:r>
        <w:rPr>
          <w:b/>
        </w:rPr>
        <w:t xml:space="preserve"> </w:t>
      </w:r>
      <w:r w:rsidR="00502FCD">
        <w:rPr>
          <w:b/>
        </w:rPr>
        <w:t>None</w:t>
      </w:r>
    </w:p>
    <w:p w14:paraId="357C8AD5" w14:textId="70B41049" w:rsidR="00723B76" w:rsidRPr="00ED6776" w:rsidRDefault="00723B76" w:rsidP="00502FCD">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502FCD">
        <w:rPr>
          <w:rFonts w:ascii="Arial Black" w:hAnsi="Arial Black"/>
        </w:rPr>
        <w:t xml:space="preserve"> - </w:t>
      </w:r>
      <w:r w:rsidRPr="003D78F6">
        <w:rPr>
          <w:b/>
        </w:rPr>
        <w:t xml:space="preserve">NO </w:t>
      </w:r>
    </w:p>
    <w:p w14:paraId="5471B588" w14:textId="77777777" w:rsidR="003153BD" w:rsidRDefault="003153BD" w:rsidP="00F55B78">
      <w:pPr>
        <w:pStyle w:val="Infotext"/>
        <w:spacing w:after="240"/>
        <w:rPr>
          <w:b/>
        </w:rPr>
      </w:pPr>
    </w:p>
    <w:p w14:paraId="3CCA5C3B" w14:textId="46D48296" w:rsidR="000D4E36" w:rsidRPr="00ED6776" w:rsidRDefault="000D4E36" w:rsidP="009F2A29">
      <w:pPr>
        <w:pStyle w:val="Infotext"/>
        <w:rPr>
          <w:rFonts w:cs="Arial"/>
          <w:i/>
          <w:sz w:val="24"/>
          <w:szCs w:val="24"/>
          <w:lang w:eastAsia="en-GB"/>
        </w:rPr>
      </w:pPr>
    </w:p>
    <w:sectPr w:rsidR="000D4E36" w:rsidRPr="00ED6776" w:rsidSect="001614E0">
      <w:footerReference w:type="defaul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3C83" w14:textId="77777777" w:rsidR="002F2448" w:rsidRDefault="002F2448">
      <w:r>
        <w:separator/>
      </w:r>
    </w:p>
  </w:endnote>
  <w:endnote w:type="continuationSeparator" w:id="0">
    <w:p w14:paraId="149690C3" w14:textId="77777777" w:rsidR="002F2448" w:rsidRDefault="002F2448">
      <w:r>
        <w:continuationSeparator/>
      </w:r>
    </w:p>
  </w:endnote>
  <w:endnote w:type="continuationNotice" w:id="1">
    <w:p w14:paraId="786398BF" w14:textId="77777777" w:rsidR="002F2448" w:rsidRDefault="002F2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 Hoves">
    <w:altName w:val="Calibri"/>
    <w:panose1 w:val="00000000000000000000"/>
    <w:charset w:val="00"/>
    <w:family w:val="modern"/>
    <w:notTrueType/>
    <w:pitch w:val="variable"/>
    <w:sig w:usb0="A000027F" w:usb1="5000A4F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9406" w14:textId="277C8DAC" w:rsidR="00ED2423" w:rsidRDefault="00ED2423">
    <w:pPr>
      <w:pStyle w:val="Footer"/>
      <w:jc w:val="right"/>
    </w:pPr>
  </w:p>
  <w:p w14:paraId="525204AF" w14:textId="77777777" w:rsidR="00ED2423" w:rsidRDefault="00ED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43DD" w14:textId="77777777" w:rsidR="002F2448" w:rsidRDefault="002F2448">
      <w:r>
        <w:separator/>
      </w:r>
    </w:p>
  </w:footnote>
  <w:footnote w:type="continuationSeparator" w:id="0">
    <w:p w14:paraId="635CAA5D" w14:textId="77777777" w:rsidR="002F2448" w:rsidRDefault="002F2448">
      <w:r>
        <w:continuationSeparator/>
      </w:r>
    </w:p>
  </w:footnote>
  <w:footnote w:type="continuationNotice" w:id="1">
    <w:p w14:paraId="323E1C2F" w14:textId="77777777" w:rsidR="002F2448" w:rsidRDefault="002F2448"/>
  </w:footnote>
  <w:footnote w:id="2">
    <w:p w14:paraId="765EC990" w14:textId="77777777" w:rsidR="003F14E4" w:rsidRDefault="003F14E4" w:rsidP="003F14E4">
      <w:pPr>
        <w:pStyle w:val="FootnoteText"/>
        <w:rPr>
          <w:rFonts w:asciiTheme="minorHAnsi" w:hAnsiTheme="minorHAnsi" w:cstheme="minorBidi"/>
        </w:rPr>
      </w:pPr>
      <w:r>
        <w:rPr>
          <w:rStyle w:val="FootnoteReference"/>
        </w:rPr>
        <w:footnoteRef/>
      </w:r>
      <w:r>
        <w:t xml:space="preserve"> https://www.harrow.gov.uk/downloads/file/26993/housing-strategy-2019-with-heading</w:t>
      </w:r>
    </w:p>
  </w:footnote>
  <w:footnote w:id="3">
    <w:p w14:paraId="2D678D3A" w14:textId="77777777" w:rsidR="003F14E4" w:rsidRDefault="003F14E4" w:rsidP="003F14E4">
      <w:pPr>
        <w:pStyle w:val="FootnoteText"/>
      </w:pPr>
      <w:r>
        <w:rPr>
          <w:rStyle w:val="FootnoteReference"/>
        </w:rPr>
        <w:footnoteRef/>
      </w:r>
      <w:r>
        <w:t xml:space="preserve"> Statistical data set: Live tables on dwelling stock (including vacant properties) </w:t>
      </w:r>
    </w:p>
  </w:footnote>
  <w:footnote w:id="4">
    <w:p w14:paraId="198D891C" w14:textId="77777777" w:rsidR="000609B7" w:rsidRDefault="000609B7" w:rsidP="000609B7">
      <w:pPr>
        <w:pStyle w:val="FootnoteText"/>
        <w:rPr>
          <w:rFonts w:asciiTheme="minorHAnsi" w:hAnsiTheme="minorHAnsi" w:cstheme="minorBidi"/>
        </w:rPr>
      </w:pPr>
      <w:r>
        <w:rPr>
          <w:rStyle w:val="FootnoteReference"/>
        </w:rPr>
        <w:footnoteRef/>
      </w:r>
      <w:r>
        <w:t xml:space="preserve"> Resident Engagement Strategy 2021-24</w:t>
      </w:r>
    </w:p>
  </w:footnote>
  <w:footnote w:id="5">
    <w:p w14:paraId="7AB46605" w14:textId="77777777" w:rsidR="00153AB6" w:rsidRDefault="00153AB6" w:rsidP="00153AB6">
      <w:pPr>
        <w:pStyle w:val="FootnoteText"/>
        <w:rPr>
          <w:rFonts w:asciiTheme="minorHAnsi" w:eastAsiaTheme="minorHAnsi" w:hAnsiTheme="minorHAnsi" w:cstheme="minorBidi"/>
        </w:rPr>
      </w:pPr>
      <w:r>
        <w:rPr>
          <w:rStyle w:val="FootnoteReference"/>
        </w:rPr>
        <w:footnoteRef/>
      </w:r>
      <w:r>
        <w:t xml:space="preserve"> </w:t>
      </w:r>
      <w:hyperlink r:id="rId1" w:history="1">
        <w:r>
          <w:rPr>
            <w:rStyle w:val="Hyperlink"/>
          </w:rPr>
          <w:t>https://moderngov.harrow.gov.uk/documents/b30095/Supplemental%20Agenda%20Tuesday%2024-May-2022%2018.30%20Cabinet.pdf?T=9</w:t>
        </w:r>
      </w:hyperlink>
    </w:p>
  </w:footnote>
  <w:footnote w:id="6">
    <w:p w14:paraId="75BAC181" w14:textId="77777777" w:rsidR="00153AB6" w:rsidRDefault="00153AB6" w:rsidP="00153AB6">
      <w:pPr>
        <w:pStyle w:val="FootnoteText"/>
      </w:pPr>
      <w:r>
        <w:rPr>
          <w:rStyle w:val="FootnoteReference"/>
        </w:rPr>
        <w:footnoteRef/>
      </w:r>
      <w:r>
        <w:t xml:space="preserve"> </w:t>
      </w:r>
      <w:hyperlink r:id="rId2" w:history="1">
        <w:r>
          <w:rPr>
            <w:rStyle w:val="Hyperlink"/>
          </w:rPr>
          <w:t>https://www.harrow.gov.uk/boroughplan</w:t>
        </w:r>
      </w:hyperlink>
      <w:r>
        <w:t xml:space="preserve"> </w:t>
      </w:r>
    </w:p>
  </w:footnote>
  <w:footnote w:id="7">
    <w:p w14:paraId="1C00AFE3" w14:textId="77777777" w:rsidR="003D4CDC" w:rsidRDefault="003D4CDC" w:rsidP="003D4CDC">
      <w:pPr>
        <w:pStyle w:val="FootnoteText"/>
        <w:rPr>
          <w:rFonts w:asciiTheme="minorHAnsi" w:hAnsiTheme="minorHAnsi" w:cstheme="minorBidi"/>
        </w:rPr>
      </w:pPr>
      <w:r>
        <w:rPr>
          <w:rStyle w:val="FootnoteReference"/>
        </w:rPr>
        <w:footnoteRef/>
      </w:r>
      <w:r>
        <w:t xml:space="preserve"> Financial inputs include rents, voids, management and maintenance costs, Stock Condition Survey data and other economic assumptions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4C6E"/>
    <w:multiLevelType w:val="multilevel"/>
    <w:tmpl w:val="9D8A4700"/>
    <w:lvl w:ilvl="0">
      <w:start w:val="12"/>
      <w:numFmt w:val="decimal"/>
      <w:lvlText w:val="%1"/>
      <w:lvlJc w:val="left"/>
      <w:pPr>
        <w:ind w:left="473" w:hanging="473"/>
      </w:pPr>
      <w:rPr>
        <w:rFonts w:hint="default"/>
      </w:rPr>
    </w:lvl>
    <w:lvl w:ilvl="1">
      <w:start w:val="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F22CB"/>
    <w:multiLevelType w:val="multilevel"/>
    <w:tmpl w:val="119293F2"/>
    <w:lvl w:ilvl="0">
      <w:start w:val="1"/>
      <w:numFmt w:val="decimal"/>
      <w:lvlText w:val="%1"/>
      <w:lvlJc w:val="left"/>
      <w:pPr>
        <w:ind w:left="400" w:hanging="400"/>
      </w:pPr>
      <w:rPr>
        <w:rFonts w:hint="default"/>
      </w:rPr>
    </w:lvl>
    <w:lvl w:ilvl="1">
      <w:start w:val="1"/>
      <w:numFmt w:val="decimal"/>
      <w:lvlText w:val="%1.%2"/>
      <w:lvlJc w:val="left"/>
      <w:pPr>
        <w:ind w:left="437" w:hanging="40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096" w:hanging="1800"/>
      </w:pPr>
      <w:rPr>
        <w:rFonts w:hint="default"/>
      </w:rPr>
    </w:lvl>
  </w:abstractNum>
  <w:abstractNum w:abstractNumId="2" w15:restartNumberingAfterBreak="0">
    <w:nsid w:val="24E04BD5"/>
    <w:multiLevelType w:val="multilevel"/>
    <w:tmpl w:val="6E8A0A24"/>
    <w:lvl w:ilvl="0">
      <w:start w:val="11"/>
      <w:numFmt w:val="decimal"/>
      <w:lvlText w:val="%1"/>
      <w:lvlJc w:val="left"/>
      <w:pPr>
        <w:ind w:left="473" w:hanging="473"/>
      </w:pPr>
      <w:rPr>
        <w:rFonts w:hint="default"/>
      </w:rPr>
    </w:lvl>
    <w:lvl w:ilvl="1">
      <w:start w:val="3"/>
      <w:numFmt w:val="decimal"/>
      <w:lvlText w:val="%1.%2"/>
      <w:lvlJc w:val="left"/>
      <w:pPr>
        <w:ind w:left="473" w:hanging="473"/>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C804CC"/>
    <w:multiLevelType w:val="hybridMultilevel"/>
    <w:tmpl w:val="9E302C88"/>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2BDD7371"/>
    <w:multiLevelType w:val="multilevel"/>
    <w:tmpl w:val="FD124F3C"/>
    <w:lvl w:ilvl="0">
      <w:start w:val="1"/>
      <w:numFmt w:val="decimal"/>
      <w:lvlText w:val="%1"/>
      <w:lvlJc w:val="left"/>
      <w:pPr>
        <w:ind w:left="720" w:hanging="720"/>
      </w:pPr>
      <w:rPr>
        <w:rFonts w:eastAsia="Calibri" w:cs="Times New Roman" w:hint="default"/>
      </w:rPr>
    </w:lvl>
    <w:lvl w:ilvl="1">
      <w:start w:val="1"/>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 w15:restartNumberingAfterBreak="0">
    <w:nsid w:val="2FF32DDA"/>
    <w:multiLevelType w:val="multilevel"/>
    <w:tmpl w:val="6FB4DA72"/>
    <w:lvl w:ilvl="0">
      <w:start w:val="2"/>
      <w:numFmt w:val="decimal"/>
      <w:lvlText w:val="%1"/>
      <w:lvlJc w:val="left"/>
      <w:pPr>
        <w:ind w:left="473" w:hanging="473"/>
      </w:pPr>
      <w:rPr>
        <w:rFonts w:hint="default"/>
        <w:sz w:val="24"/>
      </w:rPr>
    </w:lvl>
    <w:lvl w:ilvl="1">
      <w:start w:val="17"/>
      <w:numFmt w:val="decimal"/>
      <w:lvlText w:val="%1.%2"/>
      <w:lvlJc w:val="left"/>
      <w:pPr>
        <w:ind w:left="473" w:hanging="473"/>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15:restartNumberingAfterBreak="0">
    <w:nsid w:val="3AA63569"/>
    <w:multiLevelType w:val="hybridMultilevel"/>
    <w:tmpl w:val="5F2ECA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E697498"/>
    <w:multiLevelType w:val="multilevel"/>
    <w:tmpl w:val="67D0FA82"/>
    <w:lvl w:ilvl="0">
      <w:start w:val="1"/>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2812428"/>
    <w:multiLevelType w:val="multilevel"/>
    <w:tmpl w:val="8F7878C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D373B8"/>
    <w:multiLevelType w:val="hybridMultilevel"/>
    <w:tmpl w:val="3A2CF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C56D91"/>
    <w:multiLevelType w:val="hybridMultilevel"/>
    <w:tmpl w:val="453EC368"/>
    <w:lvl w:ilvl="0" w:tplc="E7928A58">
      <w:start w:val="1"/>
      <w:numFmt w:val="bullet"/>
      <w:lvlText w:val="•"/>
      <w:lvlJc w:val="left"/>
      <w:pPr>
        <w:tabs>
          <w:tab w:val="num" w:pos="720"/>
        </w:tabs>
        <w:ind w:left="720" w:hanging="360"/>
      </w:pPr>
      <w:rPr>
        <w:rFonts w:ascii="Arial" w:hAnsi="Arial" w:hint="default"/>
      </w:rPr>
    </w:lvl>
    <w:lvl w:ilvl="1" w:tplc="D2B6340C" w:tentative="1">
      <w:start w:val="1"/>
      <w:numFmt w:val="bullet"/>
      <w:lvlText w:val="•"/>
      <w:lvlJc w:val="left"/>
      <w:pPr>
        <w:tabs>
          <w:tab w:val="num" w:pos="1440"/>
        </w:tabs>
        <w:ind w:left="1440" w:hanging="360"/>
      </w:pPr>
      <w:rPr>
        <w:rFonts w:ascii="Arial" w:hAnsi="Arial" w:hint="default"/>
      </w:rPr>
    </w:lvl>
    <w:lvl w:ilvl="2" w:tplc="31DE6E0E" w:tentative="1">
      <w:start w:val="1"/>
      <w:numFmt w:val="bullet"/>
      <w:lvlText w:val="•"/>
      <w:lvlJc w:val="left"/>
      <w:pPr>
        <w:tabs>
          <w:tab w:val="num" w:pos="2160"/>
        </w:tabs>
        <w:ind w:left="2160" w:hanging="360"/>
      </w:pPr>
      <w:rPr>
        <w:rFonts w:ascii="Arial" w:hAnsi="Arial" w:hint="default"/>
      </w:rPr>
    </w:lvl>
    <w:lvl w:ilvl="3" w:tplc="A0CE9E2C" w:tentative="1">
      <w:start w:val="1"/>
      <w:numFmt w:val="bullet"/>
      <w:lvlText w:val="•"/>
      <w:lvlJc w:val="left"/>
      <w:pPr>
        <w:tabs>
          <w:tab w:val="num" w:pos="2880"/>
        </w:tabs>
        <w:ind w:left="2880" w:hanging="360"/>
      </w:pPr>
      <w:rPr>
        <w:rFonts w:ascii="Arial" w:hAnsi="Arial" w:hint="default"/>
      </w:rPr>
    </w:lvl>
    <w:lvl w:ilvl="4" w:tplc="80AE0B20" w:tentative="1">
      <w:start w:val="1"/>
      <w:numFmt w:val="bullet"/>
      <w:lvlText w:val="•"/>
      <w:lvlJc w:val="left"/>
      <w:pPr>
        <w:tabs>
          <w:tab w:val="num" w:pos="3600"/>
        </w:tabs>
        <w:ind w:left="3600" w:hanging="360"/>
      </w:pPr>
      <w:rPr>
        <w:rFonts w:ascii="Arial" w:hAnsi="Arial" w:hint="default"/>
      </w:rPr>
    </w:lvl>
    <w:lvl w:ilvl="5" w:tplc="384AC7C2" w:tentative="1">
      <w:start w:val="1"/>
      <w:numFmt w:val="bullet"/>
      <w:lvlText w:val="•"/>
      <w:lvlJc w:val="left"/>
      <w:pPr>
        <w:tabs>
          <w:tab w:val="num" w:pos="4320"/>
        </w:tabs>
        <w:ind w:left="4320" w:hanging="360"/>
      </w:pPr>
      <w:rPr>
        <w:rFonts w:ascii="Arial" w:hAnsi="Arial" w:hint="default"/>
      </w:rPr>
    </w:lvl>
    <w:lvl w:ilvl="6" w:tplc="0AA22ACE" w:tentative="1">
      <w:start w:val="1"/>
      <w:numFmt w:val="bullet"/>
      <w:lvlText w:val="•"/>
      <w:lvlJc w:val="left"/>
      <w:pPr>
        <w:tabs>
          <w:tab w:val="num" w:pos="5040"/>
        </w:tabs>
        <w:ind w:left="5040" w:hanging="360"/>
      </w:pPr>
      <w:rPr>
        <w:rFonts w:ascii="Arial" w:hAnsi="Arial" w:hint="default"/>
      </w:rPr>
    </w:lvl>
    <w:lvl w:ilvl="7" w:tplc="891222A4" w:tentative="1">
      <w:start w:val="1"/>
      <w:numFmt w:val="bullet"/>
      <w:lvlText w:val="•"/>
      <w:lvlJc w:val="left"/>
      <w:pPr>
        <w:tabs>
          <w:tab w:val="num" w:pos="5760"/>
        </w:tabs>
        <w:ind w:left="5760" w:hanging="360"/>
      </w:pPr>
      <w:rPr>
        <w:rFonts w:ascii="Arial" w:hAnsi="Arial" w:hint="default"/>
      </w:rPr>
    </w:lvl>
    <w:lvl w:ilvl="8" w:tplc="5EAA1B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82B387"/>
    <w:multiLevelType w:val="hybridMultilevel"/>
    <w:tmpl w:val="0A00E986"/>
    <w:lvl w:ilvl="0" w:tplc="49A0DB5C">
      <w:start w:val="1"/>
      <w:numFmt w:val="bullet"/>
      <w:lvlText w:val="·"/>
      <w:lvlJc w:val="left"/>
      <w:pPr>
        <w:ind w:left="1080" w:hanging="360"/>
      </w:pPr>
      <w:rPr>
        <w:rFonts w:ascii="Symbol" w:hAnsi="Symbol" w:hint="default"/>
      </w:rPr>
    </w:lvl>
    <w:lvl w:ilvl="1" w:tplc="1950676E">
      <w:start w:val="1"/>
      <w:numFmt w:val="bullet"/>
      <w:lvlText w:val="o"/>
      <w:lvlJc w:val="left"/>
      <w:pPr>
        <w:ind w:left="1800" w:hanging="360"/>
      </w:pPr>
      <w:rPr>
        <w:rFonts w:ascii="Courier New" w:hAnsi="Courier New" w:cs="Times New Roman" w:hint="default"/>
      </w:rPr>
    </w:lvl>
    <w:lvl w:ilvl="2" w:tplc="54EEAB5A">
      <w:start w:val="1"/>
      <w:numFmt w:val="bullet"/>
      <w:lvlText w:val=""/>
      <w:lvlJc w:val="left"/>
      <w:pPr>
        <w:ind w:left="2520" w:hanging="360"/>
      </w:pPr>
      <w:rPr>
        <w:rFonts w:ascii="Wingdings" w:hAnsi="Wingdings" w:hint="default"/>
      </w:rPr>
    </w:lvl>
    <w:lvl w:ilvl="3" w:tplc="22928852">
      <w:start w:val="1"/>
      <w:numFmt w:val="bullet"/>
      <w:lvlText w:val=""/>
      <w:lvlJc w:val="left"/>
      <w:pPr>
        <w:ind w:left="3240" w:hanging="360"/>
      </w:pPr>
      <w:rPr>
        <w:rFonts w:ascii="Symbol" w:hAnsi="Symbol" w:hint="default"/>
      </w:rPr>
    </w:lvl>
    <w:lvl w:ilvl="4" w:tplc="535A0CFE">
      <w:start w:val="1"/>
      <w:numFmt w:val="bullet"/>
      <w:lvlText w:val="o"/>
      <w:lvlJc w:val="left"/>
      <w:pPr>
        <w:ind w:left="3960" w:hanging="360"/>
      </w:pPr>
      <w:rPr>
        <w:rFonts w:ascii="Courier New" w:hAnsi="Courier New" w:cs="Times New Roman" w:hint="default"/>
      </w:rPr>
    </w:lvl>
    <w:lvl w:ilvl="5" w:tplc="CA4EBCD4">
      <w:start w:val="1"/>
      <w:numFmt w:val="bullet"/>
      <w:lvlText w:val=""/>
      <w:lvlJc w:val="left"/>
      <w:pPr>
        <w:ind w:left="4680" w:hanging="360"/>
      </w:pPr>
      <w:rPr>
        <w:rFonts w:ascii="Wingdings" w:hAnsi="Wingdings" w:hint="default"/>
      </w:rPr>
    </w:lvl>
    <w:lvl w:ilvl="6" w:tplc="AB6AA904">
      <w:start w:val="1"/>
      <w:numFmt w:val="bullet"/>
      <w:lvlText w:val=""/>
      <w:lvlJc w:val="left"/>
      <w:pPr>
        <w:ind w:left="5400" w:hanging="360"/>
      </w:pPr>
      <w:rPr>
        <w:rFonts w:ascii="Symbol" w:hAnsi="Symbol" w:hint="default"/>
      </w:rPr>
    </w:lvl>
    <w:lvl w:ilvl="7" w:tplc="9CCA9840">
      <w:start w:val="1"/>
      <w:numFmt w:val="bullet"/>
      <w:lvlText w:val="o"/>
      <w:lvlJc w:val="left"/>
      <w:pPr>
        <w:ind w:left="6120" w:hanging="360"/>
      </w:pPr>
      <w:rPr>
        <w:rFonts w:ascii="Courier New" w:hAnsi="Courier New" w:cs="Times New Roman" w:hint="default"/>
      </w:rPr>
    </w:lvl>
    <w:lvl w:ilvl="8" w:tplc="6310DEBA">
      <w:start w:val="1"/>
      <w:numFmt w:val="bullet"/>
      <w:lvlText w:val=""/>
      <w:lvlJc w:val="left"/>
      <w:pPr>
        <w:ind w:left="6840" w:hanging="360"/>
      </w:pPr>
      <w:rPr>
        <w:rFonts w:ascii="Wingdings" w:hAnsi="Wingdings" w:hint="default"/>
      </w:rPr>
    </w:lvl>
  </w:abstractNum>
  <w:abstractNum w:abstractNumId="12" w15:restartNumberingAfterBreak="0">
    <w:nsid w:val="737C3F9F"/>
    <w:multiLevelType w:val="multilevel"/>
    <w:tmpl w:val="98D0FD08"/>
    <w:lvl w:ilvl="0">
      <w:start w:val="12"/>
      <w:numFmt w:val="decimal"/>
      <w:lvlText w:val="%1"/>
      <w:lvlJc w:val="left"/>
      <w:pPr>
        <w:ind w:left="460" w:hanging="460"/>
      </w:pPr>
      <w:rPr>
        <w:rFonts w:hint="default"/>
      </w:rPr>
    </w:lvl>
    <w:lvl w:ilvl="1">
      <w:start w:val="5"/>
      <w:numFmt w:val="decimal"/>
      <w:lvlText w:val="%1.%2"/>
      <w:lvlJc w:val="left"/>
      <w:pPr>
        <w:ind w:left="885" w:hanging="4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0"/>
  </w:num>
  <w:num w:numId="4">
    <w:abstractNumId w:val="4"/>
  </w:num>
  <w:num w:numId="5">
    <w:abstractNumId w:val="3"/>
  </w:num>
  <w:num w:numId="6">
    <w:abstractNumId w:val="7"/>
  </w:num>
  <w:num w:numId="7">
    <w:abstractNumId w:val="6"/>
  </w:num>
  <w:num w:numId="8">
    <w:abstractNumId w:val="8"/>
  </w:num>
  <w:num w:numId="9">
    <w:abstractNumId w:val="11"/>
  </w:num>
  <w:num w:numId="10">
    <w:abstractNumId w:val="5"/>
  </w:num>
  <w:num w:numId="11">
    <w:abstractNumId w:val="0"/>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AA"/>
    <w:rsid w:val="0000089B"/>
    <w:rsid w:val="00002E7C"/>
    <w:rsid w:val="00002F2F"/>
    <w:rsid w:val="0000395D"/>
    <w:rsid w:val="000048AA"/>
    <w:rsid w:val="000054DC"/>
    <w:rsid w:val="00005516"/>
    <w:rsid w:val="00006E80"/>
    <w:rsid w:val="00006F76"/>
    <w:rsid w:val="000120C4"/>
    <w:rsid w:val="00012C11"/>
    <w:rsid w:val="00012FCE"/>
    <w:rsid w:val="0001348C"/>
    <w:rsid w:val="0001581D"/>
    <w:rsid w:val="00020A19"/>
    <w:rsid w:val="000218B8"/>
    <w:rsid w:val="000222BD"/>
    <w:rsid w:val="000229AC"/>
    <w:rsid w:val="00023163"/>
    <w:rsid w:val="0002475F"/>
    <w:rsid w:val="000251C0"/>
    <w:rsid w:val="00026473"/>
    <w:rsid w:val="000273D8"/>
    <w:rsid w:val="000275FC"/>
    <w:rsid w:val="000356B1"/>
    <w:rsid w:val="00035FAF"/>
    <w:rsid w:val="00036FD1"/>
    <w:rsid w:val="0004029A"/>
    <w:rsid w:val="00041210"/>
    <w:rsid w:val="00041711"/>
    <w:rsid w:val="00043F48"/>
    <w:rsid w:val="000441D7"/>
    <w:rsid w:val="00044AF5"/>
    <w:rsid w:val="000453D9"/>
    <w:rsid w:val="00045E51"/>
    <w:rsid w:val="00046BCF"/>
    <w:rsid w:val="000474E3"/>
    <w:rsid w:val="000474F7"/>
    <w:rsid w:val="00047E52"/>
    <w:rsid w:val="00051377"/>
    <w:rsid w:val="00052115"/>
    <w:rsid w:val="00052A71"/>
    <w:rsid w:val="00053605"/>
    <w:rsid w:val="000556DA"/>
    <w:rsid w:val="00055865"/>
    <w:rsid w:val="000558E9"/>
    <w:rsid w:val="00055CD6"/>
    <w:rsid w:val="0005616D"/>
    <w:rsid w:val="0006034E"/>
    <w:rsid w:val="000609B7"/>
    <w:rsid w:val="00063783"/>
    <w:rsid w:val="00066536"/>
    <w:rsid w:val="000667B2"/>
    <w:rsid w:val="00066BD4"/>
    <w:rsid w:val="00071792"/>
    <w:rsid w:val="000725AB"/>
    <w:rsid w:val="00073765"/>
    <w:rsid w:val="00076374"/>
    <w:rsid w:val="000816D6"/>
    <w:rsid w:val="00082D24"/>
    <w:rsid w:val="0008347C"/>
    <w:rsid w:val="000841F1"/>
    <w:rsid w:val="00084C4A"/>
    <w:rsid w:val="00085CDF"/>
    <w:rsid w:val="00087D68"/>
    <w:rsid w:val="0009040E"/>
    <w:rsid w:val="000924FE"/>
    <w:rsid w:val="000929A6"/>
    <w:rsid w:val="00096488"/>
    <w:rsid w:val="00097409"/>
    <w:rsid w:val="00097E08"/>
    <w:rsid w:val="00097F17"/>
    <w:rsid w:val="000A284F"/>
    <w:rsid w:val="000A2B79"/>
    <w:rsid w:val="000A336D"/>
    <w:rsid w:val="000A4F21"/>
    <w:rsid w:val="000A5098"/>
    <w:rsid w:val="000A743D"/>
    <w:rsid w:val="000B3768"/>
    <w:rsid w:val="000B3B0C"/>
    <w:rsid w:val="000B5015"/>
    <w:rsid w:val="000B52D8"/>
    <w:rsid w:val="000B5E53"/>
    <w:rsid w:val="000B63E6"/>
    <w:rsid w:val="000B788F"/>
    <w:rsid w:val="000B79E9"/>
    <w:rsid w:val="000B7C66"/>
    <w:rsid w:val="000C0EC8"/>
    <w:rsid w:val="000C1E43"/>
    <w:rsid w:val="000C336A"/>
    <w:rsid w:val="000C3831"/>
    <w:rsid w:val="000C4137"/>
    <w:rsid w:val="000C4EB2"/>
    <w:rsid w:val="000C530C"/>
    <w:rsid w:val="000D14A5"/>
    <w:rsid w:val="000D15B2"/>
    <w:rsid w:val="000D1BCC"/>
    <w:rsid w:val="000D3DD3"/>
    <w:rsid w:val="000D4E36"/>
    <w:rsid w:val="000D5BB4"/>
    <w:rsid w:val="000D642D"/>
    <w:rsid w:val="000D7857"/>
    <w:rsid w:val="000E5937"/>
    <w:rsid w:val="000E5E12"/>
    <w:rsid w:val="000E62FE"/>
    <w:rsid w:val="000E65DC"/>
    <w:rsid w:val="000F1300"/>
    <w:rsid w:val="000F1338"/>
    <w:rsid w:val="000F2892"/>
    <w:rsid w:val="000F3743"/>
    <w:rsid w:val="000F75DF"/>
    <w:rsid w:val="00100C1E"/>
    <w:rsid w:val="00101A85"/>
    <w:rsid w:val="001024C3"/>
    <w:rsid w:val="001027A5"/>
    <w:rsid w:val="001030F4"/>
    <w:rsid w:val="00103467"/>
    <w:rsid w:val="00104019"/>
    <w:rsid w:val="0010472D"/>
    <w:rsid w:val="00105029"/>
    <w:rsid w:val="00105441"/>
    <w:rsid w:val="00112645"/>
    <w:rsid w:val="00112BB6"/>
    <w:rsid w:val="00113829"/>
    <w:rsid w:val="00113B16"/>
    <w:rsid w:val="00113ED9"/>
    <w:rsid w:val="001161E4"/>
    <w:rsid w:val="00116CED"/>
    <w:rsid w:val="00117B1B"/>
    <w:rsid w:val="00117E0A"/>
    <w:rsid w:val="001201F7"/>
    <w:rsid w:val="00120D7F"/>
    <w:rsid w:val="0012216D"/>
    <w:rsid w:val="00122796"/>
    <w:rsid w:val="00124B80"/>
    <w:rsid w:val="0012507D"/>
    <w:rsid w:val="00125A26"/>
    <w:rsid w:val="00125A65"/>
    <w:rsid w:val="001264EE"/>
    <w:rsid w:val="00127288"/>
    <w:rsid w:val="00127C40"/>
    <w:rsid w:val="00130E16"/>
    <w:rsid w:val="00130F21"/>
    <w:rsid w:val="001341EE"/>
    <w:rsid w:val="00136267"/>
    <w:rsid w:val="00137350"/>
    <w:rsid w:val="00140C19"/>
    <w:rsid w:val="00143DDF"/>
    <w:rsid w:val="00144FE7"/>
    <w:rsid w:val="00146D2D"/>
    <w:rsid w:val="0014719F"/>
    <w:rsid w:val="001472A8"/>
    <w:rsid w:val="00147D09"/>
    <w:rsid w:val="00153116"/>
    <w:rsid w:val="0015321E"/>
    <w:rsid w:val="0015376F"/>
    <w:rsid w:val="00153AB6"/>
    <w:rsid w:val="00153D50"/>
    <w:rsid w:val="001540EE"/>
    <w:rsid w:val="00154823"/>
    <w:rsid w:val="0015542C"/>
    <w:rsid w:val="00155686"/>
    <w:rsid w:val="00155A44"/>
    <w:rsid w:val="00156E23"/>
    <w:rsid w:val="00160D79"/>
    <w:rsid w:val="001614E0"/>
    <w:rsid w:val="00163F3C"/>
    <w:rsid w:val="00164531"/>
    <w:rsid w:val="00165059"/>
    <w:rsid w:val="00165507"/>
    <w:rsid w:val="0016594B"/>
    <w:rsid w:val="00165E57"/>
    <w:rsid w:val="00166541"/>
    <w:rsid w:val="001667BF"/>
    <w:rsid w:val="00166BFE"/>
    <w:rsid w:val="00166E89"/>
    <w:rsid w:val="00167A73"/>
    <w:rsid w:val="00170454"/>
    <w:rsid w:val="00171BD8"/>
    <w:rsid w:val="00175C33"/>
    <w:rsid w:val="00176206"/>
    <w:rsid w:val="001763B0"/>
    <w:rsid w:val="0017653E"/>
    <w:rsid w:val="00176CCA"/>
    <w:rsid w:val="00177098"/>
    <w:rsid w:val="0017727C"/>
    <w:rsid w:val="00181262"/>
    <w:rsid w:val="00181A4C"/>
    <w:rsid w:val="00182B01"/>
    <w:rsid w:val="00182FDD"/>
    <w:rsid w:val="00183C51"/>
    <w:rsid w:val="001840D2"/>
    <w:rsid w:val="00185C1F"/>
    <w:rsid w:val="00187131"/>
    <w:rsid w:val="0018739A"/>
    <w:rsid w:val="00187D78"/>
    <w:rsid w:val="00190BE8"/>
    <w:rsid w:val="00192264"/>
    <w:rsid w:val="0019313D"/>
    <w:rsid w:val="00193C41"/>
    <w:rsid w:val="001946A3"/>
    <w:rsid w:val="001958A7"/>
    <w:rsid w:val="001963CC"/>
    <w:rsid w:val="001966D7"/>
    <w:rsid w:val="00196FF4"/>
    <w:rsid w:val="00197F90"/>
    <w:rsid w:val="001A02E5"/>
    <w:rsid w:val="001A0E19"/>
    <w:rsid w:val="001A118E"/>
    <w:rsid w:val="001A28B6"/>
    <w:rsid w:val="001A3191"/>
    <w:rsid w:val="001A48DF"/>
    <w:rsid w:val="001A60D1"/>
    <w:rsid w:val="001B070D"/>
    <w:rsid w:val="001B09C9"/>
    <w:rsid w:val="001B2EF5"/>
    <w:rsid w:val="001B36F4"/>
    <w:rsid w:val="001B516E"/>
    <w:rsid w:val="001B7C60"/>
    <w:rsid w:val="001C0579"/>
    <w:rsid w:val="001C3032"/>
    <w:rsid w:val="001C44FE"/>
    <w:rsid w:val="001C4B61"/>
    <w:rsid w:val="001C4D2E"/>
    <w:rsid w:val="001C7E35"/>
    <w:rsid w:val="001D0C6A"/>
    <w:rsid w:val="001D2CB5"/>
    <w:rsid w:val="001D43EB"/>
    <w:rsid w:val="001D4520"/>
    <w:rsid w:val="001D4B56"/>
    <w:rsid w:val="001D72A0"/>
    <w:rsid w:val="001D7EC3"/>
    <w:rsid w:val="001E0064"/>
    <w:rsid w:val="001E222C"/>
    <w:rsid w:val="001E25F9"/>
    <w:rsid w:val="001E367B"/>
    <w:rsid w:val="001E3C06"/>
    <w:rsid w:val="001E4CB6"/>
    <w:rsid w:val="001E5EBD"/>
    <w:rsid w:val="001E6118"/>
    <w:rsid w:val="001E7581"/>
    <w:rsid w:val="001E76EE"/>
    <w:rsid w:val="001F0037"/>
    <w:rsid w:val="001F00B6"/>
    <w:rsid w:val="001F0AC5"/>
    <w:rsid w:val="001F0BE9"/>
    <w:rsid w:val="001F0EEF"/>
    <w:rsid w:val="001F1564"/>
    <w:rsid w:val="001F2174"/>
    <w:rsid w:val="001F2820"/>
    <w:rsid w:val="001F307A"/>
    <w:rsid w:val="001F3A6E"/>
    <w:rsid w:val="001F4D5D"/>
    <w:rsid w:val="0020044F"/>
    <w:rsid w:val="00200576"/>
    <w:rsid w:val="00202D79"/>
    <w:rsid w:val="00205CAB"/>
    <w:rsid w:val="00205D2F"/>
    <w:rsid w:val="00206A13"/>
    <w:rsid w:val="00206CAF"/>
    <w:rsid w:val="00212FE0"/>
    <w:rsid w:val="002133A4"/>
    <w:rsid w:val="002138FE"/>
    <w:rsid w:val="00215E8F"/>
    <w:rsid w:val="002166FD"/>
    <w:rsid w:val="00217AD9"/>
    <w:rsid w:val="002210E3"/>
    <w:rsid w:val="00221990"/>
    <w:rsid w:val="00221A93"/>
    <w:rsid w:val="00223B9E"/>
    <w:rsid w:val="00223C12"/>
    <w:rsid w:val="002256ED"/>
    <w:rsid w:val="0023061D"/>
    <w:rsid w:val="00230C53"/>
    <w:rsid w:val="0023199F"/>
    <w:rsid w:val="002322BB"/>
    <w:rsid w:val="002348FB"/>
    <w:rsid w:val="00234972"/>
    <w:rsid w:val="0023557A"/>
    <w:rsid w:val="0023674F"/>
    <w:rsid w:val="00237C1B"/>
    <w:rsid w:val="00237D18"/>
    <w:rsid w:val="00237DC6"/>
    <w:rsid w:val="00242302"/>
    <w:rsid w:val="00242496"/>
    <w:rsid w:val="00243E93"/>
    <w:rsid w:val="00246CAC"/>
    <w:rsid w:val="00250A35"/>
    <w:rsid w:val="00251254"/>
    <w:rsid w:val="00251CB2"/>
    <w:rsid w:val="00252B4C"/>
    <w:rsid w:val="00252BAA"/>
    <w:rsid w:val="00252DEC"/>
    <w:rsid w:val="002548D1"/>
    <w:rsid w:val="00256FCF"/>
    <w:rsid w:val="00261265"/>
    <w:rsid w:val="00261841"/>
    <w:rsid w:val="00262E96"/>
    <w:rsid w:val="0026324A"/>
    <w:rsid w:val="002636C9"/>
    <w:rsid w:val="00266189"/>
    <w:rsid w:val="0027199A"/>
    <w:rsid w:val="00272663"/>
    <w:rsid w:val="0027283B"/>
    <w:rsid w:val="0027293E"/>
    <w:rsid w:val="00275178"/>
    <w:rsid w:val="0027546F"/>
    <w:rsid w:val="00275B1C"/>
    <w:rsid w:val="002771FB"/>
    <w:rsid w:val="0028019B"/>
    <w:rsid w:val="00282029"/>
    <w:rsid w:val="00282870"/>
    <w:rsid w:val="00282E73"/>
    <w:rsid w:val="002839FF"/>
    <w:rsid w:val="00283CAB"/>
    <w:rsid w:val="00284412"/>
    <w:rsid w:val="0028495D"/>
    <w:rsid w:val="00285227"/>
    <w:rsid w:val="0028525A"/>
    <w:rsid w:val="00287D48"/>
    <w:rsid w:val="002916FF"/>
    <w:rsid w:val="0029246B"/>
    <w:rsid w:val="002953FF"/>
    <w:rsid w:val="00297F0E"/>
    <w:rsid w:val="002A0154"/>
    <w:rsid w:val="002A3FEF"/>
    <w:rsid w:val="002A4560"/>
    <w:rsid w:val="002A5008"/>
    <w:rsid w:val="002A56DB"/>
    <w:rsid w:val="002A5D78"/>
    <w:rsid w:val="002A7891"/>
    <w:rsid w:val="002B10FB"/>
    <w:rsid w:val="002B1204"/>
    <w:rsid w:val="002B51B7"/>
    <w:rsid w:val="002B5291"/>
    <w:rsid w:val="002B54A6"/>
    <w:rsid w:val="002B620B"/>
    <w:rsid w:val="002B67B8"/>
    <w:rsid w:val="002C01C8"/>
    <w:rsid w:val="002C1060"/>
    <w:rsid w:val="002C32A4"/>
    <w:rsid w:val="002C3A12"/>
    <w:rsid w:val="002C47AE"/>
    <w:rsid w:val="002C55B9"/>
    <w:rsid w:val="002C72D4"/>
    <w:rsid w:val="002D0D3D"/>
    <w:rsid w:val="002D123D"/>
    <w:rsid w:val="002D2F95"/>
    <w:rsid w:val="002D4378"/>
    <w:rsid w:val="002D6038"/>
    <w:rsid w:val="002E382C"/>
    <w:rsid w:val="002E61F4"/>
    <w:rsid w:val="002E6A4F"/>
    <w:rsid w:val="002E6AC6"/>
    <w:rsid w:val="002F2448"/>
    <w:rsid w:val="002F3EE9"/>
    <w:rsid w:val="002F42F2"/>
    <w:rsid w:val="002F4A5C"/>
    <w:rsid w:val="002F618D"/>
    <w:rsid w:val="002F6D7C"/>
    <w:rsid w:val="002F7C54"/>
    <w:rsid w:val="002F7DC3"/>
    <w:rsid w:val="00302FE0"/>
    <w:rsid w:val="00303BDE"/>
    <w:rsid w:val="0030661C"/>
    <w:rsid w:val="003076BA"/>
    <w:rsid w:val="0030783D"/>
    <w:rsid w:val="00307F76"/>
    <w:rsid w:val="0031037B"/>
    <w:rsid w:val="0031076F"/>
    <w:rsid w:val="003115BB"/>
    <w:rsid w:val="00311943"/>
    <w:rsid w:val="003128BC"/>
    <w:rsid w:val="00313B32"/>
    <w:rsid w:val="003153BD"/>
    <w:rsid w:val="0031560F"/>
    <w:rsid w:val="00315A99"/>
    <w:rsid w:val="00316D0C"/>
    <w:rsid w:val="003173D4"/>
    <w:rsid w:val="00317B73"/>
    <w:rsid w:val="00320333"/>
    <w:rsid w:val="00320F30"/>
    <w:rsid w:val="00321FBB"/>
    <w:rsid w:val="00322C1D"/>
    <w:rsid w:val="00325128"/>
    <w:rsid w:val="00326B73"/>
    <w:rsid w:val="00327182"/>
    <w:rsid w:val="00327381"/>
    <w:rsid w:val="003278CA"/>
    <w:rsid w:val="003313EA"/>
    <w:rsid w:val="00332240"/>
    <w:rsid w:val="00333693"/>
    <w:rsid w:val="00333FAA"/>
    <w:rsid w:val="00334D88"/>
    <w:rsid w:val="0033519B"/>
    <w:rsid w:val="003355D7"/>
    <w:rsid w:val="003360BD"/>
    <w:rsid w:val="00337D36"/>
    <w:rsid w:val="00340EB4"/>
    <w:rsid w:val="00341DA4"/>
    <w:rsid w:val="003430E5"/>
    <w:rsid w:val="00346457"/>
    <w:rsid w:val="0035338D"/>
    <w:rsid w:val="00356009"/>
    <w:rsid w:val="003575C2"/>
    <w:rsid w:val="0036099C"/>
    <w:rsid w:val="003618E0"/>
    <w:rsid w:val="00361A0F"/>
    <w:rsid w:val="0036201C"/>
    <w:rsid w:val="003637D9"/>
    <w:rsid w:val="00365639"/>
    <w:rsid w:val="00366FCE"/>
    <w:rsid w:val="00371142"/>
    <w:rsid w:val="003711D0"/>
    <w:rsid w:val="0037178E"/>
    <w:rsid w:val="00373869"/>
    <w:rsid w:val="00373E54"/>
    <w:rsid w:val="00374285"/>
    <w:rsid w:val="00374E1E"/>
    <w:rsid w:val="00374EE1"/>
    <w:rsid w:val="00376768"/>
    <w:rsid w:val="00382B88"/>
    <w:rsid w:val="003854CE"/>
    <w:rsid w:val="00385BAB"/>
    <w:rsid w:val="00385FE3"/>
    <w:rsid w:val="0038701A"/>
    <w:rsid w:val="003908AE"/>
    <w:rsid w:val="003931F3"/>
    <w:rsid w:val="00393434"/>
    <w:rsid w:val="003945A9"/>
    <w:rsid w:val="003949C6"/>
    <w:rsid w:val="003970D2"/>
    <w:rsid w:val="00397191"/>
    <w:rsid w:val="003A0C55"/>
    <w:rsid w:val="003A2D09"/>
    <w:rsid w:val="003A3818"/>
    <w:rsid w:val="003A40AC"/>
    <w:rsid w:val="003A41E0"/>
    <w:rsid w:val="003A49C0"/>
    <w:rsid w:val="003A536F"/>
    <w:rsid w:val="003A5CE6"/>
    <w:rsid w:val="003A665B"/>
    <w:rsid w:val="003A66B3"/>
    <w:rsid w:val="003A78AA"/>
    <w:rsid w:val="003B0A77"/>
    <w:rsid w:val="003B356B"/>
    <w:rsid w:val="003B5DBE"/>
    <w:rsid w:val="003B62E6"/>
    <w:rsid w:val="003B6C60"/>
    <w:rsid w:val="003C244A"/>
    <w:rsid w:val="003C271D"/>
    <w:rsid w:val="003C4E65"/>
    <w:rsid w:val="003C7351"/>
    <w:rsid w:val="003C75E2"/>
    <w:rsid w:val="003D05AF"/>
    <w:rsid w:val="003D1528"/>
    <w:rsid w:val="003D2A57"/>
    <w:rsid w:val="003D3D5E"/>
    <w:rsid w:val="003D4092"/>
    <w:rsid w:val="003D4BE3"/>
    <w:rsid w:val="003D4CDC"/>
    <w:rsid w:val="003D5F0F"/>
    <w:rsid w:val="003D636E"/>
    <w:rsid w:val="003D69F9"/>
    <w:rsid w:val="003E02F4"/>
    <w:rsid w:val="003E1403"/>
    <w:rsid w:val="003E17EF"/>
    <w:rsid w:val="003E30E5"/>
    <w:rsid w:val="003E3FC2"/>
    <w:rsid w:val="003E4F61"/>
    <w:rsid w:val="003E6BF0"/>
    <w:rsid w:val="003E70E4"/>
    <w:rsid w:val="003F04B0"/>
    <w:rsid w:val="003F1471"/>
    <w:rsid w:val="003F14E4"/>
    <w:rsid w:val="003F24AE"/>
    <w:rsid w:val="003F3AFD"/>
    <w:rsid w:val="00400D04"/>
    <w:rsid w:val="00401282"/>
    <w:rsid w:val="00401DCE"/>
    <w:rsid w:val="00401F9A"/>
    <w:rsid w:val="0040208C"/>
    <w:rsid w:val="00403FC6"/>
    <w:rsid w:val="004043BC"/>
    <w:rsid w:val="00406BA0"/>
    <w:rsid w:val="00406C9A"/>
    <w:rsid w:val="00407231"/>
    <w:rsid w:val="004076C8"/>
    <w:rsid w:val="0041000E"/>
    <w:rsid w:val="00412056"/>
    <w:rsid w:val="0041251D"/>
    <w:rsid w:val="004135A3"/>
    <w:rsid w:val="004158B9"/>
    <w:rsid w:val="00416B2C"/>
    <w:rsid w:val="00417412"/>
    <w:rsid w:val="00417F7F"/>
    <w:rsid w:val="00420684"/>
    <w:rsid w:val="004207E3"/>
    <w:rsid w:val="00421A4C"/>
    <w:rsid w:val="004223AD"/>
    <w:rsid w:val="004238C2"/>
    <w:rsid w:val="004270E4"/>
    <w:rsid w:val="00430337"/>
    <w:rsid w:val="0043063A"/>
    <w:rsid w:val="00430D1C"/>
    <w:rsid w:val="00433F1C"/>
    <w:rsid w:val="004346F1"/>
    <w:rsid w:val="00434953"/>
    <w:rsid w:val="00434B4B"/>
    <w:rsid w:val="004351BF"/>
    <w:rsid w:val="004353CE"/>
    <w:rsid w:val="00435B5D"/>
    <w:rsid w:val="004363F7"/>
    <w:rsid w:val="00436C54"/>
    <w:rsid w:val="0044004B"/>
    <w:rsid w:val="004401E0"/>
    <w:rsid w:val="00441DD0"/>
    <w:rsid w:val="00442A99"/>
    <w:rsid w:val="0044414A"/>
    <w:rsid w:val="0044525C"/>
    <w:rsid w:val="0044584F"/>
    <w:rsid w:val="004514E1"/>
    <w:rsid w:val="00454369"/>
    <w:rsid w:val="0045462B"/>
    <w:rsid w:val="00454790"/>
    <w:rsid w:val="004553F1"/>
    <w:rsid w:val="00455792"/>
    <w:rsid w:val="00455F88"/>
    <w:rsid w:val="004569EE"/>
    <w:rsid w:val="004607BC"/>
    <w:rsid w:val="00461DAE"/>
    <w:rsid w:val="00462F0D"/>
    <w:rsid w:val="0046468C"/>
    <w:rsid w:val="004658C5"/>
    <w:rsid w:val="00466934"/>
    <w:rsid w:val="00466B82"/>
    <w:rsid w:val="00467B1C"/>
    <w:rsid w:val="00471C1F"/>
    <w:rsid w:val="00471CFB"/>
    <w:rsid w:val="00472649"/>
    <w:rsid w:val="004738E4"/>
    <w:rsid w:val="00473EB8"/>
    <w:rsid w:val="004759B8"/>
    <w:rsid w:val="004774D4"/>
    <w:rsid w:val="004809FA"/>
    <w:rsid w:val="00480CA2"/>
    <w:rsid w:val="00483D77"/>
    <w:rsid w:val="00484A75"/>
    <w:rsid w:val="0048695F"/>
    <w:rsid w:val="00490EBB"/>
    <w:rsid w:val="00491582"/>
    <w:rsid w:val="0049163C"/>
    <w:rsid w:val="00493A00"/>
    <w:rsid w:val="00494217"/>
    <w:rsid w:val="00494B35"/>
    <w:rsid w:val="00495B08"/>
    <w:rsid w:val="004960E6"/>
    <w:rsid w:val="00497400"/>
    <w:rsid w:val="004A0352"/>
    <w:rsid w:val="004A0954"/>
    <w:rsid w:val="004A0F16"/>
    <w:rsid w:val="004A21BA"/>
    <w:rsid w:val="004A4EAE"/>
    <w:rsid w:val="004A5380"/>
    <w:rsid w:val="004B08AE"/>
    <w:rsid w:val="004B1CAE"/>
    <w:rsid w:val="004B1ECE"/>
    <w:rsid w:val="004B2213"/>
    <w:rsid w:val="004B2C7C"/>
    <w:rsid w:val="004B4967"/>
    <w:rsid w:val="004B57AF"/>
    <w:rsid w:val="004B6077"/>
    <w:rsid w:val="004C07F0"/>
    <w:rsid w:val="004C3BDE"/>
    <w:rsid w:val="004C4776"/>
    <w:rsid w:val="004C4A75"/>
    <w:rsid w:val="004C571A"/>
    <w:rsid w:val="004C5AB7"/>
    <w:rsid w:val="004C61C9"/>
    <w:rsid w:val="004D27CB"/>
    <w:rsid w:val="004D2DA0"/>
    <w:rsid w:val="004D418F"/>
    <w:rsid w:val="004D4C2D"/>
    <w:rsid w:val="004D50AE"/>
    <w:rsid w:val="004D55A6"/>
    <w:rsid w:val="004E02CD"/>
    <w:rsid w:val="004E0E29"/>
    <w:rsid w:val="004E14A4"/>
    <w:rsid w:val="004E3CD0"/>
    <w:rsid w:val="004E4602"/>
    <w:rsid w:val="004E59F0"/>
    <w:rsid w:val="004E6317"/>
    <w:rsid w:val="004F0983"/>
    <w:rsid w:val="004F12B0"/>
    <w:rsid w:val="004F2013"/>
    <w:rsid w:val="004F246A"/>
    <w:rsid w:val="004F2F97"/>
    <w:rsid w:val="004F4392"/>
    <w:rsid w:val="004F46E9"/>
    <w:rsid w:val="004F54BD"/>
    <w:rsid w:val="004F56C5"/>
    <w:rsid w:val="004F6636"/>
    <w:rsid w:val="004F6875"/>
    <w:rsid w:val="00500616"/>
    <w:rsid w:val="00500797"/>
    <w:rsid w:val="00502589"/>
    <w:rsid w:val="00502FCD"/>
    <w:rsid w:val="0050325C"/>
    <w:rsid w:val="005034E1"/>
    <w:rsid w:val="00503850"/>
    <w:rsid w:val="00504628"/>
    <w:rsid w:val="005050C7"/>
    <w:rsid w:val="00505138"/>
    <w:rsid w:val="00505F30"/>
    <w:rsid w:val="00506185"/>
    <w:rsid w:val="005071A7"/>
    <w:rsid w:val="00510A86"/>
    <w:rsid w:val="00510AF9"/>
    <w:rsid w:val="00511A1A"/>
    <w:rsid w:val="00511B7F"/>
    <w:rsid w:val="00511E57"/>
    <w:rsid w:val="005160BC"/>
    <w:rsid w:val="00516DEB"/>
    <w:rsid w:val="005173F0"/>
    <w:rsid w:val="00517905"/>
    <w:rsid w:val="005221F7"/>
    <w:rsid w:val="00523749"/>
    <w:rsid w:val="00524AEA"/>
    <w:rsid w:val="005279ED"/>
    <w:rsid w:val="00527A38"/>
    <w:rsid w:val="00530006"/>
    <w:rsid w:val="0053043C"/>
    <w:rsid w:val="00531F3E"/>
    <w:rsid w:val="00532452"/>
    <w:rsid w:val="00532655"/>
    <w:rsid w:val="00533173"/>
    <w:rsid w:val="0053362C"/>
    <w:rsid w:val="005349B2"/>
    <w:rsid w:val="005354D0"/>
    <w:rsid w:val="0053632C"/>
    <w:rsid w:val="00540370"/>
    <w:rsid w:val="00541353"/>
    <w:rsid w:val="0054172C"/>
    <w:rsid w:val="00542EEB"/>
    <w:rsid w:val="00544F23"/>
    <w:rsid w:val="00545766"/>
    <w:rsid w:val="0054590F"/>
    <w:rsid w:val="005459EC"/>
    <w:rsid w:val="00547813"/>
    <w:rsid w:val="00547F73"/>
    <w:rsid w:val="00551FD6"/>
    <w:rsid w:val="00552F0C"/>
    <w:rsid w:val="00553AC7"/>
    <w:rsid w:val="005552CA"/>
    <w:rsid w:val="005563BB"/>
    <w:rsid w:val="005564DE"/>
    <w:rsid w:val="0056030C"/>
    <w:rsid w:val="0056383B"/>
    <w:rsid w:val="00563B48"/>
    <w:rsid w:val="00564855"/>
    <w:rsid w:val="00566732"/>
    <w:rsid w:val="005718B5"/>
    <w:rsid w:val="0057226A"/>
    <w:rsid w:val="00572DC1"/>
    <w:rsid w:val="00573097"/>
    <w:rsid w:val="00573298"/>
    <w:rsid w:val="005735A8"/>
    <w:rsid w:val="005769B1"/>
    <w:rsid w:val="00576C21"/>
    <w:rsid w:val="0058066B"/>
    <w:rsid w:val="005808FB"/>
    <w:rsid w:val="00580EA5"/>
    <w:rsid w:val="005811F8"/>
    <w:rsid w:val="005816B0"/>
    <w:rsid w:val="00582605"/>
    <w:rsid w:val="00582DE3"/>
    <w:rsid w:val="00583A22"/>
    <w:rsid w:val="0058484E"/>
    <w:rsid w:val="00584A90"/>
    <w:rsid w:val="00585107"/>
    <w:rsid w:val="0058519A"/>
    <w:rsid w:val="005859B8"/>
    <w:rsid w:val="00585FC5"/>
    <w:rsid w:val="00587907"/>
    <w:rsid w:val="00591016"/>
    <w:rsid w:val="005923C2"/>
    <w:rsid w:val="005926F4"/>
    <w:rsid w:val="00593423"/>
    <w:rsid w:val="005941D9"/>
    <w:rsid w:val="00594ED2"/>
    <w:rsid w:val="00595088"/>
    <w:rsid w:val="005A2CD8"/>
    <w:rsid w:val="005A478E"/>
    <w:rsid w:val="005A57BF"/>
    <w:rsid w:val="005A5F93"/>
    <w:rsid w:val="005A6E67"/>
    <w:rsid w:val="005A7468"/>
    <w:rsid w:val="005B07E2"/>
    <w:rsid w:val="005B12C0"/>
    <w:rsid w:val="005B396B"/>
    <w:rsid w:val="005B3F67"/>
    <w:rsid w:val="005B5860"/>
    <w:rsid w:val="005B5938"/>
    <w:rsid w:val="005C00DF"/>
    <w:rsid w:val="005C243A"/>
    <w:rsid w:val="005C2444"/>
    <w:rsid w:val="005C4840"/>
    <w:rsid w:val="005C6684"/>
    <w:rsid w:val="005C66E4"/>
    <w:rsid w:val="005D009F"/>
    <w:rsid w:val="005D0C52"/>
    <w:rsid w:val="005D1220"/>
    <w:rsid w:val="005D3D49"/>
    <w:rsid w:val="005D41FF"/>
    <w:rsid w:val="005D511E"/>
    <w:rsid w:val="005D548F"/>
    <w:rsid w:val="005D57C2"/>
    <w:rsid w:val="005D6C77"/>
    <w:rsid w:val="005D6EF5"/>
    <w:rsid w:val="005E0163"/>
    <w:rsid w:val="005E0217"/>
    <w:rsid w:val="005E07D5"/>
    <w:rsid w:val="005E09B5"/>
    <w:rsid w:val="005E2982"/>
    <w:rsid w:val="005E3884"/>
    <w:rsid w:val="005E3A10"/>
    <w:rsid w:val="005E4896"/>
    <w:rsid w:val="005E5D4A"/>
    <w:rsid w:val="005E609C"/>
    <w:rsid w:val="005E660E"/>
    <w:rsid w:val="005E6760"/>
    <w:rsid w:val="005E748C"/>
    <w:rsid w:val="005E7509"/>
    <w:rsid w:val="005E7682"/>
    <w:rsid w:val="005F0FD3"/>
    <w:rsid w:val="005F1103"/>
    <w:rsid w:val="005F17E3"/>
    <w:rsid w:val="005F69E3"/>
    <w:rsid w:val="005F7725"/>
    <w:rsid w:val="0060058C"/>
    <w:rsid w:val="00600972"/>
    <w:rsid w:val="00600F78"/>
    <w:rsid w:val="00602FFC"/>
    <w:rsid w:val="0060397E"/>
    <w:rsid w:val="00603CC3"/>
    <w:rsid w:val="00603FEA"/>
    <w:rsid w:val="006043C4"/>
    <w:rsid w:val="00605A4C"/>
    <w:rsid w:val="00605C92"/>
    <w:rsid w:val="00607080"/>
    <w:rsid w:val="00607D1E"/>
    <w:rsid w:val="006114C6"/>
    <w:rsid w:val="00611D0E"/>
    <w:rsid w:val="00612DCE"/>
    <w:rsid w:val="00613574"/>
    <w:rsid w:val="00614972"/>
    <w:rsid w:val="00616D66"/>
    <w:rsid w:val="00617242"/>
    <w:rsid w:val="00617780"/>
    <w:rsid w:val="0062135D"/>
    <w:rsid w:val="00621AEE"/>
    <w:rsid w:val="00626595"/>
    <w:rsid w:val="00626D27"/>
    <w:rsid w:val="00632E87"/>
    <w:rsid w:val="0063309F"/>
    <w:rsid w:val="00633243"/>
    <w:rsid w:val="00633B6D"/>
    <w:rsid w:val="006363FC"/>
    <w:rsid w:val="0063668F"/>
    <w:rsid w:val="00641A44"/>
    <w:rsid w:val="0064242F"/>
    <w:rsid w:val="00645426"/>
    <w:rsid w:val="00645586"/>
    <w:rsid w:val="00645B8B"/>
    <w:rsid w:val="00645C63"/>
    <w:rsid w:val="00647366"/>
    <w:rsid w:val="00647D02"/>
    <w:rsid w:val="00650534"/>
    <w:rsid w:val="00653B37"/>
    <w:rsid w:val="00655044"/>
    <w:rsid w:val="006556C2"/>
    <w:rsid w:val="00655DFC"/>
    <w:rsid w:val="00657427"/>
    <w:rsid w:val="00660481"/>
    <w:rsid w:val="0066063E"/>
    <w:rsid w:val="0066087D"/>
    <w:rsid w:val="00661859"/>
    <w:rsid w:val="00663437"/>
    <w:rsid w:val="006635CC"/>
    <w:rsid w:val="0066447C"/>
    <w:rsid w:val="00666922"/>
    <w:rsid w:val="00670A0B"/>
    <w:rsid w:val="00670F17"/>
    <w:rsid w:val="006710C7"/>
    <w:rsid w:val="00671689"/>
    <w:rsid w:val="006726C2"/>
    <w:rsid w:val="006735A3"/>
    <w:rsid w:val="00673633"/>
    <w:rsid w:val="00673F6A"/>
    <w:rsid w:val="006758FC"/>
    <w:rsid w:val="00676245"/>
    <w:rsid w:val="006776A8"/>
    <w:rsid w:val="0068143C"/>
    <w:rsid w:val="00682921"/>
    <w:rsid w:val="00683270"/>
    <w:rsid w:val="0068335E"/>
    <w:rsid w:val="00683CE3"/>
    <w:rsid w:val="00685A1F"/>
    <w:rsid w:val="00685FB3"/>
    <w:rsid w:val="006879CC"/>
    <w:rsid w:val="006914FB"/>
    <w:rsid w:val="006940E5"/>
    <w:rsid w:val="00694CB1"/>
    <w:rsid w:val="006955BC"/>
    <w:rsid w:val="00696A83"/>
    <w:rsid w:val="00697696"/>
    <w:rsid w:val="006A181D"/>
    <w:rsid w:val="006A3FA5"/>
    <w:rsid w:val="006A587E"/>
    <w:rsid w:val="006A63A2"/>
    <w:rsid w:val="006B329E"/>
    <w:rsid w:val="006B389B"/>
    <w:rsid w:val="006B5426"/>
    <w:rsid w:val="006B6698"/>
    <w:rsid w:val="006C0A9C"/>
    <w:rsid w:val="006C13AC"/>
    <w:rsid w:val="006C580A"/>
    <w:rsid w:val="006C6F72"/>
    <w:rsid w:val="006D19EC"/>
    <w:rsid w:val="006D1E69"/>
    <w:rsid w:val="006D2E11"/>
    <w:rsid w:val="006D58CE"/>
    <w:rsid w:val="006D673C"/>
    <w:rsid w:val="006E1A3D"/>
    <w:rsid w:val="006E1DD8"/>
    <w:rsid w:val="006E35E4"/>
    <w:rsid w:val="006E5034"/>
    <w:rsid w:val="006E5348"/>
    <w:rsid w:val="006E6B93"/>
    <w:rsid w:val="006E75FE"/>
    <w:rsid w:val="006F0058"/>
    <w:rsid w:val="006F052E"/>
    <w:rsid w:val="006F057C"/>
    <w:rsid w:val="006F1EFB"/>
    <w:rsid w:val="006F22DA"/>
    <w:rsid w:val="006F2B0C"/>
    <w:rsid w:val="006F2EB3"/>
    <w:rsid w:val="006F3308"/>
    <w:rsid w:val="006F5B1E"/>
    <w:rsid w:val="006F5F06"/>
    <w:rsid w:val="006F66C0"/>
    <w:rsid w:val="007047DF"/>
    <w:rsid w:val="00706A60"/>
    <w:rsid w:val="007074B3"/>
    <w:rsid w:val="007116B1"/>
    <w:rsid w:val="0071299F"/>
    <w:rsid w:val="00713360"/>
    <w:rsid w:val="00714BEE"/>
    <w:rsid w:val="00714F31"/>
    <w:rsid w:val="0071562F"/>
    <w:rsid w:val="00715F1F"/>
    <w:rsid w:val="00716C96"/>
    <w:rsid w:val="00717B6A"/>
    <w:rsid w:val="00721215"/>
    <w:rsid w:val="007228DB"/>
    <w:rsid w:val="00723434"/>
    <w:rsid w:val="0072374D"/>
    <w:rsid w:val="00723B76"/>
    <w:rsid w:val="00723BC8"/>
    <w:rsid w:val="00724192"/>
    <w:rsid w:val="00724D34"/>
    <w:rsid w:val="00724E62"/>
    <w:rsid w:val="0073003E"/>
    <w:rsid w:val="00730375"/>
    <w:rsid w:val="00730B2F"/>
    <w:rsid w:val="00730E01"/>
    <w:rsid w:val="00732D8A"/>
    <w:rsid w:val="0073425F"/>
    <w:rsid w:val="00737D7A"/>
    <w:rsid w:val="007400CF"/>
    <w:rsid w:val="00741114"/>
    <w:rsid w:val="00742AB4"/>
    <w:rsid w:val="00743085"/>
    <w:rsid w:val="007431EF"/>
    <w:rsid w:val="007432A2"/>
    <w:rsid w:val="00745691"/>
    <w:rsid w:val="00745B1C"/>
    <w:rsid w:val="007463B6"/>
    <w:rsid w:val="00747E15"/>
    <w:rsid w:val="00750EB9"/>
    <w:rsid w:val="00752BD0"/>
    <w:rsid w:val="0075483C"/>
    <w:rsid w:val="00754DA2"/>
    <w:rsid w:val="007563D6"/>
    <w:rsid w:val="0075643F"/>
    <w:rsid w:val="007572A9"/>
    <w:rsid w:val="0075749B"/>
    <w:rsid w:val="00757BAD"/>
    <w:rsid w:val="00760974"/>
    <w:rsid w:val="0076154D"/>
    <w:rsid w:val="007624D1"/>
    <w:rsid w:val="00765B7A"/>
    <w:rsid w:val="00766758"/>
    <w:rsid w:val="0077130C"/>
    <w:rsid w:val="00771B5E"/>
    <w:rsid w:val="00773CF9"/>
    <w:rsid w:val="00773E7D"/>
    <w:rsid w:val="00774F53"/>
    <w:rsid w:val="0077512E"/>
    <w:rsid w:val="007762A0"/>
    <w:rsid w:val="00776876"/>
    <w:rsid w:val="00777305"/>
    <w:rsid w:val="00781189"/>
    <w:rsid w:val="0078260B"/>
    <w:rsid w:val="007832C6"/>
    <w:rsid w:val="00784845"/>
    <w:rsid w:val="00786D57"/>
    <w:rsid w:val="00787CDF"/>
    <w:rsid w:val="00791509"/>
    <w:rsid w:val="007940C5"/>
    <w:rsid w:val="007944F3"/>
    <w:rsid w:val="00794B90"/>
    <w:rsid w:val="007958D5"/>
    <w:rsid w:val="0079668D"/>
    <w:rsid w:val="007A042A"/>
    <w:rsid w:val="007A2336"/>
    <w:rsid w:val="007A2D30"/>
    <w:rsid w:val="007A34B6"/>
    <w:rsid w:val="007A4B48"/>
    <w:rsid w:val="007A6364"/>
    <w:rsid w:val="007A659D"/>
    <w:rsid w:val="007A7ECE"/>
    <w:rsid w:val="007B108C"/>
    <w:rsid w:val="007B218D"/>
    <w:rsid w:val="007B23FC"/>
    <w:rsid w:val="007B42C7"/>
    <w:rsid w:val="007B4D9E"/>
    <w:rsid w:val="007B7468"/>
    <w:rsid w:val="007C269B"/>
    <w:rsid w:val="007C3A9D"/>
    <w:rsid w:val="007C456E"/>
    <w:rsid w:val="007C4659"/>
    <w:rsid w:val="007C4BB7"/>
    <w:rsid w:val="007C4E8D"/>
    <w:rsid w:val="007C568C"/>
    <w:rsid w:val="007C62BD"/>
    <w:rsid w:val="007C6EE8"/>
    <w:rsid w:val="007D0C1D"/>
    <w:rsid w:val="007D2000"/>
    <w:rsid w:val="007D2433"/>
    <w:rsid w:val="007D2DBE"/>
    <w:rsid w:val="007D2F57"/>
    <w:rsid w:val="007D3BCC"/>
    <w:rsid w:val="007D413D"/>
    <w:rsid w:val="007D4D79"/>
    <w:rsid w:val="007D4DBF"/>
    <w:rsid w:val="007D5F49"/>
    <w:rsid w:val="007D64F2"/>
    <w:rsid w:val="007D729F"/>
    <w:rsid w:val="007E24E8"/>
    <w:rsid w:val="007E3497"/>
    <w:rsid w:val="007E3B46"/>
    <w:rsid w:val="007E3B51"/>
    <w:rsid w:val="007E43C8"/>
    <w:rsid w:val="007E4732"/>
    <w:rsid w:val="007E4BA4"/>
    <w:rsid w:val="007E56A6"/>
    <w:rsid w:val="007E7FA8"/>
    <w:rsid w:val="007F004E"/>
    <w:rsid w:val="007F335A"/>
    <w:rsid w:val="007F3711"/>
    <w:rsid w:val="007F41B8"/>
    <w:rsid w:val="007F42B2"/>
    <w:rsid w:val="007F7BB9"/>
    <w:rsid w:val="007F7DAF"/>
    <w:rsid w:val="0080201A"/>
    <w:rsid w:val="00802A69"/>
    <w:rsid w:val="00802ABF"/>
    <w:rsid w:val="00803104"/>
    <w:rsid w:val="00803617"/>
    <w:rsid w:val="0080455B"/>
    <w:rsid w:val="008053DE"/>
    <w:rsid w:val="00806B0B"/>
    <w:rsid w:val="00806FE2"/>
    <w:rsid w:val="0080702A"/>
    <w:rsid w:val="0081018D"/>
    <w:rsid w:val="00810776"/>
    <w:rsid w:val="00812901"/>
    <w:rsid w:val="00812C5E"/>
    <w:rsid w:val="008137F3"/>
    <w:rsid w:val="00814B92"/>
    <w:rsid w:val="00816AB5"/>
    <w:rsid w:val="00816B42"/>
    <w:rsid w:val="00821786"/>
    <w:rsid w:val="00821D14"/>
    <w:rsid w:val="00822FC3"/>
    <w:rsid w:val="008236C4"/>
    <w:rsid w:val="00824375"/>
    <w:rsid w:val="0082500B"/>
    <w:rsid w:val="00826B9A"/>
    <w:rsid w:val="00826C75"/>
    <w:rsid w:val="008306DA"/>
    <w:rsid w:val="00831954"/>
    <w:rsid w:val="008320FE"/>
    <w:rsid w:val="008326C3"/>
    <w:rsid w:val="00832732"/>
    <w:rsid w:val="008342CA"/>
    <w:rsid w:val="00835E74"/>
    <w:rsid w:val="008378C7"/>
    <w:rsid w:val="00840773"/>
    <w:rsid w:val="008414E4"/>
    <w:rsid w:val="00842072"/>
    <w:rsid w:val="00842757"/>
    <w:rsid w:val="00842D2F"/>
    <w:rsid w:val="00843CC2"/>
    <w:rsid w:val="008453DC"/>
    <w:rsid w:val="00845FF4"/>
    <w:rsid w:val="008472DD"/>
    <w:rsid w:val="00847E93"/>
    <w:rsid w:val="008505F4"/>
    <w:rsid w:val="00850B13"/>
    <w:rsid w:val="00850CB0"/>
    <w:rsid w:val="0085266D"/>
    <w:rsid w:val="00852A2D"/>
    <w:rsid w:val="00853177"/>
    <w:rsid w:val="00853761"/>
    <w:rsid w:val="008539E8"/>
    <w:rsid w:val="00854F3F"/>
    <w:rsid w:val="0085772C"/>
    <w:rsid w:val="00857E91"/>
    <w:rsid w:val="008610FA"/>
    <w:rsid w:val="008650BD"/>
    <w:rsid w:val="00866727"/>
    <w:rsid w:val="008667E3"/>
    <w:rsid w:val="00870ABB"/>
    <w:rsid w:val="00871891"/>
    <w:rsid w:val="008724D7"/>
    <w:rsid w:val="00872511"/>
    <w:rsid w:val="00873391"/>
    <w:rsid w:val="008745D2"/>
    <w:rsid w:val="00880093"/>
    <w:rsid w:val="00881A42"/>
    <w:rsid w:val="0088234D"/>
    <w:rsid w:val="00882357"/>
    <w:rsid w:val="00882B91"/>
    <w:rsid w:val="0088362A"/>
    <w:rsid w:val="00883D7C"/>
    <w:rsid w:val="0088406B"/>
    <w:rsid w:val="0088530B"/>
    <w:rsid w:val="0088792B"/>
    <w:rsid w:val="0089040C"/>
    <w:rsid w:val="00894042"/>
    <w:rsid w:val="0089449F"/>
    <w:rsid w:val="00894673"/>
    <w:rsid w:val="00894A1A"/>
    <w:rsid w:val="00894C47"/>
    <w:rsid w:val="008959DC"/>
    <w:rsid w:val="00896E33"/>
    <w:rsid w:val="008A21C0"/>
    <w:rsid w:val="008A2404"/>
    <w:rsid w:val="008A4336"/>
    <w:rsid w:val="008A50FE"/>
    <w:rsid w:val="008A5324"/>
    <w:rsid w:val="008A5AA0"/>
    <w:rsid w:val="008A616C"/>
    <w:rsid w:val="008A7F11"/>
    <w:rsid w:val="008B008A"/>
    <w:rsid w:val="008B16E8"/>
    <w:rsid w:val="008B363B"/>
    <w:rsid w:val="008B6290"/>
    <w:rsid w:val="008B7DC0"/>
    <w:rsid w:val="008C1985"/>
    <w:rsid w:val="008C2070"/>
    <w:rsid w:val="008C274D"/>
    <w:rsid w:val="008C4BB4"/>
    <w:rsid w:val="008C5256"/>
    <w:rsid w:val="008C52A1"/>
    <w:rsid w:val="008C57B6"/>
    <w:rsid w:val="008C67F1"/>
    <w:rsid w:val="008C70A3"/>
    <w:rsid w:val="008D1A24"/>
    <w:rsid w:val="008D1D23"/>
    <w:rsid w:val="008D2E67"/>
    <w:rsid w:val="008D3B4C"/>
    <w:rsid w:val="008D577D"/>
    <w:rsid w:val="008D57C8"/>
    <w:rsid w:val="008D5820"/>
    <w:rsid w:val="008D6AFF"/>
    <w:rsid w:val="008E0DEB"/>
    <w:rsid w:val="008E104A"/>
    <w:rsid w:val="008E16AB"/>
    <w:rsid w:val="008E21A5"/>
    <w:rsid w:val="008E224D"/>
    <w:rsid w:val="008E4199"/>
    <w:rsid w:val="008E5A1D"/>
    <w:rsid w:val="008E7456"/>
    <w:rsid w:val="008F4970"/>
    <w:rsid w:val="008F4EF6"/>
    <w:rsid w:val="008F5829"/>
    <w:rsid w:val="008F6113"/>
    <w:rsid w:val="0090013D"/>
    <w:rsid w:val="009007B8"/>
    <w:rsid w:val="00901BD9"/>
    <w:rsid w:val="0090516D"/>
    <w:rsid w:val="00907AD8"/>
    <w:rsid w:val="0091018C"/>
    <w:rsid w:val="009117A3"/>
    <w:rsid w:val="009122F4"/>
    <w:rsid w:val="0091276D"/>
    <w:rsid w:val="00912E23"/>
    <w:rsid w:val="00913ADD"/>
    <w:rsid w:val="00913F90"/>
    <w:rsid w:val="0091730E"/>
    <w:rsid w:val="00920047"/>
    <w:rsid w:val="00920472"/>
    <w:rsid w:val="00923B11"/>
    <w:rsid w:val="009248E8"/>
    <w:rsid w:val="009251F2"/>
    <w:rsid w:val="0092530B"/>
    <w:rsid w:val="00926D70"/>
    <w:rsid w:val="00926F04"/>
    <w:rsid w:val="00926FF0"/>
    <w:rsid w:val="00927435"/>
    <w:rsid w:val="00932729"/>
    <w:rsid w:val="00933B56"/>
    <w:rsid w:val="009341A6"/>
    <w:rsid w:val="00934C4B"/>
    <w:rsid w:val="009356A3"/>
    <w:rsid w:val="0093625D"/>
    <w:rsid w:val="00936DD8"/>
    <w:rsid w:val="009371EC"/>
    <w:rsid w:val="0093740E"/>
    <w:rsid w:val="00937832"/>
    <w:rsid w:val="00941B87"/>
    <w:rsid w:val="0094208C"/>
    <w:rsid w:val="00942F17"/>
    <w:rsid w:val="00943236"/>
    <w:rsid w:val="0094368B"/>
    <w:rsid w:val="00945B58"/>
    <w:rsid w:val="00946F0F"/>
    <w:rsid w:val="00947549"/>
    <w:rsid w:val="009502F7"/>
    <w:rsid w:val="00952464"/>
    <w:rsid w:val="00952856"/>
    <w:rsid w:val="00952CEF"/>
    <w:rsid w:val="0095304E"/>
    <w:rsid w:val="00955421"/>
    <w:rsid w:val="00961084"/>
    <w:rsid w:val="009642F0"/>
    <w:rsid w:val="00964896"/>
    <w:rsid w:val="00965792"/>
    <w:rsid w:val="00965EA2"/>
    <w:rsid w:val="00965EC7"/>
    <w:rsid w:val="00966C52"/>
    <w:rsid w:val="00970A1A"/>
    <w:rsid w:val="009764C9"/>
    <w:rsid w:val="00976A63"/>
    <w:rsid w:val="009802E0"/>
    <w:rsid w:val="00980A09"/>
    <w:rsid w:val="00981307"/>
    <w:rsid w:val="00982365"/>
    <w:rsid w:val="009823A1"/>
    <w:rsid w:val="00982819"/>
    <w:rsid w:val="00986BDF"/>
    <w:rsid w:val="00986DBA"/>
    <w:rsid w:val="00987A89"/>
    <w:rsid w:val="00990507"/>
    <w:rsid w:val="00990E9C"/>
    <w:rsid w:val="00993865"/>
    <w:rsid w:val="0099425C"/>
    <w:rsid w:val="00994542"/>
    <w:rsid w:val="00994908"/>
    <w:rsid w:val="009951E5"/>
    <w:rsid w:val="00995B50"/>
    <w:rsid w:val="00997185"/>
    <w:rsid w:val="009A09C3"/>
    <w:rsid w:val="009A1564"/>
    <w:rsid w:val="009A1AF5"/>
    <w:rsid w:val="009A26C7"/>
    <w:rsid w:val="009A461D"/>
    <w:rsid w:val="009A6E77"/>
    <w:rsid w:val="009B04EB"/>
    <w:rsid w:val="009B160B"/>
    <w:rsid w:val="009B1D01"/>
    <w:rsid w:val="009B4495"/>
    <w:rsid w:val="009C043D"/>
    <w:rsid w:val="009C1F70"/>
    <w:rsid w:val="009C237B"/>
    <w:rsid w:val="009C31F4"/>
    <w:rsid w:val="009C3D1B"/>
    <w:rsid w:val="009C4E5D"/>
    <w:rsid w:val="009C7875"/>
    <w:rsid w:val="009D1054"/>
    <w:rsid w:val="009D121B"/>
    <w:rsid w:val="009D1E34"/>
    <w:rsid w:val="009D33CC"/>
    <w:rsid w:val="009D3D32"/>
    <w:rsid w:val="009D4450"/>
    <w:rsid w:val="009D5ED5"/>
    <w:rsid w:val="009D75B9"/>
    <w:rsid w:val="009D77EC"/>
    <w:rsid w:val="009D788C"/>
    <w:rsid w:val="009E08A3"/>
    <w:rsid w:val="009E3DAA"/>
    <w:rsid w:val="009E567C"/>
    <w:rsid w:val="009E5A93"/>
    <w:rsid w:val="009F1F13"/>
    <w:rsid w:val="009F2A29"/>
    <w:rsid w:val="009F2F03"/>
    <w:rsid w:val="009F3154"/>
    <w:rsid w:val="009F32CB"/>
    <w:rsid w:val="009F3E81"/>
    <w:rsid w:val="009F5046"/>
    <w:rsid w:val="009F69ED"/>
    <w:rsid w:val="009F7493"/>
    <w:rsid w:val="00A00818"/>
    <w:rsid w:val="00A00C52"/>
    <w:rsid w:val="00A00FCF"/>
    <w:rsid w:val="00A01141"/>
    <w:rsid w:val="00A01C51"/>
    <w:rsid w:val="00A033CA"/>
    <w:rsid w:val="00A039F1"/>
    <w:rsid w:val="00A049C9"/>
    <w:rsid w:val="00A07494"/>
    <w:rsid w:val="00A07C04"/>
    <w:rsid w:val="00A103D9"/>
    <w:rsid w:val="00A1211C"/>
    <w:rsid w:val="00A124BF"/>
    <w:rsid w:val="00A149A6"/>
    <w:rsid w:val="00A20113"/>
    <w:rsid w:val="00A208FA"/>
    <w:rsid w:val="00A20D78"/>
    <w:rsid w:val="00A210B8"/>
    <w:rsid w:val="00A2147F"/>
    <w:rsid w:val="00A21860"/>
    <w:rsid w:val="00A21E68"/>
    <w:rsid w:val="00A2215F"/>
    <w:rsid w:val="00A22839"/>
    <w:rsid w:val="00A23E19"/>
    <w:rsid w:val="00A25084"/>
    <w:rsid w:val="00A257A1"/>
    <w:rsid w:val="00A2697F"/>
    <w:rsid w:val="00A30CA7"/>
    <w:rsid w:val="00A311C5"/>
    <w:rsid w:val="00A313B0"/>
    <w:rsid w:val="00A31F2B"/>
    <w:rsid w:val="00A321C9"/>
    <w:rsid w:val="00A324C6"/>
    <w:rsid w:val="00A33185"/>
    <w:rsid w:val="00A33BF5"/>
    <w:rsid w:val="00A34D6D"/>
    <w:rsid w:val="00A359CA"/>
    <w:rsid w:val="00A369A8"/>
    <w:rsid w:val="00A37C9B"/>
    <w:rsid w:val="00A40E0F"/>
    <w:rsid w:val="00A41206"/>
    <w:rsid w:val="00A42DEF"/>
    <w:rsid w:val="00A4383F"/>
    <w:rsid w:val="00A45BCF"/>
    <w:rsid w:val="00A46113"/>
    <w:rsid w:val="00A46C0A"/>
    <w:rsid w:val="00A50402"/>
    <w:rsid w:val="00A50AF2"/>
    <w:rsid w:val="00A51D10"/>
    <w:rsid w:val="00A52617"/>
    <w:rsid w:val="00A53B04"/>
    <w:rsid w:val="00A552E5"/>
    <w:rsid w:val="00A6212A"/>
    <w:rsid w:val="00A62187"/>
    <w:rsid w:val="00A62493"/>
    <w:rsid w:val="00A6363C"/>
    <w:rsid w:val="00A63AB9"/>
    <w:rsid w:val="00A6447C"/>
    <w:rsid w:val="00A661F4"/>
    <w:rsid w:val="00A66326"/>
    <w:rsid w:val="00A67A5B"/>
    <w:rsid w:val="00A67D03"/>
    <w:rsid w:val="00A70AC4"/>
    <w:rsid w:val="00A715E5"/>
    <w:rsid w:val="00A72645"/>
    <w:rsid w:val="00A7271A"/>
    <w:rsid w:val="00A72972"/>
    <w:rsid w:val="00A733B3"/>
    <w:rsid w:val="00A74750"/>
    <w:rsid w:val="00A74925"/>
    <w:rsid w:val="00A759D6"/>
    <w:rsid w:val="00A75F33"/>
    <w:rsid w:val="00A762EB"/>
    <w:rsid w:val="00A80B68"/>
    <w:rsid w:val="00A81E19"/>
    <w:rsid w:val="00A8240D"/>
    <w:rsid w:val="00A824A3"/>
    <w:rsid w:val="00A82AA4"/>
    <w:rsid w:val="00A83F19"/>
    <w:rsid w:val="00A84B49"/>
    <w:rsid w:val="00A8507B"/>
    <w:rsid w:val="00A8508B"/>
    <w:rsid w:val="00A855B1"/>
    <w:rsid w:val="00A866D2"/>
    <w:rsid w:val="00A878FD"/>
    <w:rsid w:val="00A879DE"/>
    <w:rsid w:val="00A90281"/>
    <w:rsid w:val="00A90728"/>
    <w:rsid w:val="00A90C67"/>
    <w:rsid w:val="00A90D5E"/>
    <w:rsid w:val="00A917B6"/>
    <w:rsid w:val="00A91EDB"/>
    <w:rsid w:val="00A93BAC"/>
    <w:rsid w:val="00A9643C"/>
    <w:rsid w:val="00A971AC"/>
    <w:rsid w:val="00A97A28"/>
    <w:rsid w:val="00AA1651"/>
    <w:rsid w:val="00AA3A90"/>
    <w:rsid w:val="00AA4C94"/>
    <w:rsid w:val="00AA4E8E"/>
    <w:rsid w:val="00AA54CE"/>
    <w:rsid w:val="00AA5C15"/>
    <w:rsid w:val="00AA64C3"/>
    <w:rsid w:val="00AB164F"/>
    <w:rsid w:val="00AB3AA4"/>
    <w:rsid w:val="00AB6DFE"/>
    <w:rsid w:val="00AB795F"/>
    <w:rsid w:val="00AC3DAF"/>
    <w:rsid w:val="00AC4A7E"/>
    <w:rsid w:val="00AC5055"/>
    <w:rsid w:val="00AC6312"/>
    <w:rsid w:val="00AC73E4"/>
    <w:rsid w:val="00AD1E77"/>
    <w:rsid w:val="00AD3E20"/>
    <w:rsid w:val="00AD53BC"/>
    <w:rsid w:val="00AD6D80"/>
    <w:rsid w:val="00AE095C"/>
    <w:rsid w:val="00AE1AAC"/>
    <w:rsid w:val="00AE368E"/>
    <w:rsid w:val="00AE3BBF"/>
    <w:rsid w:val="00AE3DA2"/>
    <w:rsid w:val="00AE631E"/>
    <w:rsid w:val="00AF1923"/>
    <w:rsid w:val="00AF2461"/>
    <w:rsid w:val="00AF2EB9"/>
    <w:rsid w:val="00AF30EF"/>
    <w:rsid w:val="00AF36C1"/>
    <w:rsid w:val="00AF3864"/>
    <w:rsid w:val="00AF3FCE"/>
    <w:rsid w:val="00AF5141"/>
    <w:rsid w:val="00AF6074"/>
    <w:rsid w:val="00AF7246"/>
    <w:rsid w:val="00B00612"/>
    <w:rsid w:val="00B007CF"/>
    <w:rsid w:val="00B01A07"/>
    <w:rsid w:val="00B03D26"/>
    <w:rsid w:val="00B07EB5"/>
    <w:rsid w:val="00B109AE"/>
    <w:rsid w:val="00B1160D"/>
    <w:rsid w:val="00B119E7"/>
    <w:rsid w:val="00B12017"/>
    <w:rsid w:val="00B12862"/>
    <w:rsid w:val="00B139F1"/>
    <w:rsid w:val="00B14C10"/>
    <w:rsid w:val="00B171BC"/>
    <w:rsid w:val="00B1759C"/>
    <w:rsid w:val="00B177A3"/>
    <w:rsid w:val="00B22AB5"/>
    <w:rsid w:val="00B22FBF"/>
    <w:rsid w:val="00B2516E"/>
    <w:rsid w:val="00B26044"/>
    <w:rsid w:val="00B26E35"/>
    <w:rsid w:val="00B31276"/>
    <w:rsid w:val="00B32DE9"/>
    <w:rsid w:val="00B342D9"/>
    <w:rsid w:val="00B3435E"/>
    <w:rsid w:val="00B34D97"/>
    <w:rsid w:val="00B36FDE"/>
    <w:rsid w:val="00B370B1"/>
    <w:rsid w:val="00B376BD"/>
    <w:rsid w:val="00B37BBF"/>
    <w:rsid w:val="00B40FD5"/>
    <w:rsid w:val="00B415E5"/>
    <w:rsid w:val="00B417FC"/>
    <w:rsid w:val="00B42009"/>
    <w:rsid w:val="00B42A2E"/>
    <w:rsid w:val="00B444E6"/>
    <w:rsid w:val="00B446CD"/>
    <w:rsid w:val="00B467E8"/>
    <w:rsid w:val="00B46944"/>
    <w:rsid w:val="00B501FD"/>
    <w:rsid w:val="00B52011"/>
    <w:rsid w:val="00B5326B"/>
    <w:rsid w:val="00B53B3E"/>
    <w:rsid w:val="00B53EFF"/>
    <w:rsid w:val="00B54AFA"/>
    <w:rsid w:val="00B54CF3"/>
    <w:rsid w:val="00B560EA"/>
    <w:rsid w:val="00B5693E"/>
    <w:rsid w:val="00B62037"/>
    <w:rsid w:val="00B62BFD"/>
    <w:rsid w:val="00B63778"/>
    <w:rsid w:val="00B65DC7"/>
    <w:rsid w:val="00B671A4"/>
    <w:rsid w:val="00B67366"/>
    <w:rsid w:val="00B72F76"/>
    <w:rsid w:val="00B73434"/>
    <w:rsid w:val="00B73F06"/>
    <w:rsid w:val="00B762DD"/>
    <w:rsid w:val="00B770F4"/>
    <w:rsid w:val="00B77A78"/>
    <w:rsid w:val="00B800ED"/>
    <w:rsid w:val="00B804E8"/>
    <w:rsid w:val="00B84BFE"/>
    <w:rsid w:val="00B86CBB"/>
    <w:rsid w:val="00B90C25"/>
    <w:rsid w:val="00B9105B"/>
    <w:rsid w:val="00B91F10"/>
    <w:rsid w:val="00B91F63"/>
    <w:rsid w:val="00B9309A"/>
    <w:rsid w:val="00B93FEC"/>
    <w:rsid w:val="00B94E97"/>
    <w:rsid w:val="00B953D2"/>
    <w:rsid w:val="00B9552A"/>
    <w:rsid w:val="00B963EC"/>
    <w:rsid w:val="00B97200"/>
    <w:rsid w:val="00BA0CCD"/>
    <w:rsid w:val="00BA1CB8"/>
    <w:rsid w:val="00BA480D"/>
    <w:rsid w:val="00BA5B8E"/>
    <w:rsid w:val="00BB0522"/>
    <w:rsid w:val="00BB10C1"/>
    <w:rsid w:val="00BB2B17"/>
    <w:rsid w:val="00BB4238"/>
    <w:rsid w:val="00BB44BA"/>
    <w:rsid w:val="00BB5462"/>
    <w:rsid w:val="00BB5558"/>
    <w:rsid w:val="00BB604D"/>
    <w:rsid w:val="00BB7B64"/>
    <w:rsid w:val="00BC03F4"/>
    <w:rsid w:val="00BC1F10"/>
    <w:rsid w:val="00BC206C"/>
    <w:rsid w:val="00BC431A"/>
    <w:rsid w:val="00BC431D"/>
    <w:rsid w:val="00BC5035"/>
    <w:rsid w:val="00BC5527"/>
    <w:rsid w:val="00BC6322"/>
    <w:rsid w:val="00BC6DBC"/>
    <w:rsid w:val="00BC77DA"/>
    <w:rsid w:val="00BD1385"/>
    <w:rsid w:val="00BD1DFE"/>
    <w:rsid w:val="00BD2C9F"/>
    <w:rsid w:val="00BD3A21"/>
    <w:rsid w:val="00BD4171"/>
    <w:rsid w:val="00BD460B"/>
    <w:rsid w:val="00BD5330"/>
    <w:rsid w:val="00BD534C"/>
    <w:rsid w:val="00BD5C49"/>
    <w:rsid w:val="00BD76EA"/>
    <w:rsid w:val="00BD78D4"/>
    <w:rsid w:val="00BE027D"/>
    <w:rsid w:val="00BE119D"/>
    <w:rsid w:val="00BE32E4"/>
    <w:rsid w:val="00BE3CAD"/>
    <w:rsid w:val="00BE47BD"/>
    <w:rsid w:val="00BE53E4"/>
    <w:rsid w:val="00BE7965"/>
    <w:rsid w:val="00BE7C1D"/>
    <w:rsid w:val="00BF1121"/>
    <w:rsid w:val="00BF14A3"/>
    <w:rsid w:val="00BF1C83"/>
    <w:rsid w:val="00BF25DD"/>
    <w:rsid w:val="00BF30FA"/>
    <w:rsid w:val="00BF3646"/>
    <w:rsid w:val="00BF3E97"/>
    <w:rsid w:val="00BF4785"/>
    <w:rsid w:val="00BF6260"/>
    <w:rsid w:val="00BF6F01"/>
    <w:rsid w:val="00C01A35"/>
    <w:rsid w:val="00C0253F"/>
    <w:rsid w:val="00C033F4"/>
    <w:rsid w:val="00C03772"/>
    <w:rsid w:val="00C039E2"/>
    <w:rsid w:val="00C03C4C"/>
    <w:rsid w:val="00C042F0"/>
    <w:rsid w:val="00C04B85"/>
    <w:rsid w:val="00C04DB3"/>
    <w:rsid w:val="00C04EDA"/>
    <w:rsid w:val="00C05957"/>
    <w:rsid w:val="00C0638E"/>
    <w:rsid w:val="00C101BF"/>
    <w:rsid w:val="00C1036B"/>
    <w:rsid w:val="00C10AFF"/>
    <w:rsid w:val="00C119A2"/>
    <w:rsid w:val="00C11C98"/>
    <w:rsid w:val="00C12D9B"/>
    <w:rsid w:val="00C14302"/>
    <w:rsid w:val="00C14523"/>
    <w:rsid w:val="00C150FE"/>
    <w:rsid w:val="00C153E5"/>
    <w:rsid w:val="00C2090A"/>
    <w:rsid w:val="00C22170"/>
    <w:rsid w:val="00C2422D"/>
    <w:rsid w:val="00C24A72"/>
    <w:rsid w:val="00C30F29"/>
    <w:rsid w:val="00C31887"/>
    <w:rsid w:val="00C3199A"/>
    <w:rsid w:val="00C32E2F"/>
    <w:rsid w:val="00C33625"/>
    <w:rsid w:val="00C40CCF"/>
    <w:rsid w:val="00C40F54"/>
    <w:rsid w:val="00C431F6"/>
    <w:rsid w:val="00C43AC8"/>
    <w:rsid w:val="00C43F8A"/>
    <w:rsid w:val="00C4528E"/>
    <w:rsid w:val="00C45A4E"/>
    <w:rsid w:val="00C460F1"/>
    <w:rsid w:val="00C52ACD"/>
    <w:rsid w:val="00C5348D"/>
    <w:rsid w:val="00C54718"/>
    <w:rsid w:val="00C565BF"/>
    <w:rsid w:val="00C57267"/>
    <w:rsid w:val="00C57F6F"/>
    <w:rsid w:val="00C60B44"/>
    <w:rsid w:val="00C60F65"/>
    <w:rsid w:val="00C616FF"/>
    <w:rsid w:val="00C62105"/>
    <w:rsid w:val="00C62B63"/>
    <w:rsid w:val="00C65582"/>
    <w:rsid w:val="00C65F5F"/>
    <w:rsid w:val="00C72B5B"/>
    <w:rsid w:val="00C73703"/>
    <w:rsid w:val="00C73ED2"/>
    <w:rsid w:val="00C74DD6"/>
    <w:rsid w:val="00C75787"/>
    <w:rsid w:val="00C75D6D"/>
    <w:rsid w:val="00C84DA2"/>
    <w:rsid w:val="00C85ACA"/>
    <w:rsid w:val="00C869F3"/>
    <w:rsid w:val="00C87BE4"/>
    <w:rsid w:val="00C90BB2"/>
    <w:rsid w:val="00C94FBB"/>
    <w:rsid w:val="00C955D0"/>
    <w:rsid w:val="00CA29A7"/>
    <w:rsid w:val="00CA2E83"/>
    <w:rsid w:val="00CA4EF9"/>
    <w:rsid w:val="00CA5249"/>
    <w:rsid w:val="00CB3472"/>
    <w:rsid w:val="00CB4633"/>
    <w:rsid w:val="00CB57AF"/>
    <w:rsid w:val="00CB5B6F"/>
    <w:rsid w:val="00CB7543"/>
    <w:rsid w:val="00CB7CBB"/>
    <w:rsid w:val="00CB7DDE"/>
    <w:rsid w:val="00CC18AC"/>
    <w:rsid w:val="00CC22F4"/>
    <w:rsid w:val="00CC261B"/>
    <w:rsid w:val="00CC38E4"/>
    <w:rsid w:val="00CC5188"/>
    <w:rsid w:val="00CC5AAB"/>
    <w:rsid w:val="00CC7D30"/>
    <w:rsid w:val="00CD233F"/>
    <w:rsid w:val="00CD23B4"/>
    <w:rsid w:val="00CD27EF"/>
    <w:rsid w:val="00CD288D"/>
    <w:rsid w:val="00CD3831"/>
    <w:rsid w:val="00CD532E"/>
    <w:rsid w:val="00CD5E08"/>
    <w:rsid w:val="00CD64D2"/>
    <w:rsid w:val="00CD6B49"/>
    <w:rsid w:val="00CD7D5D"/>
    <w:rsid w:val="00CE1E5D"/>
    <w:rsid w:val="00CE3FDB"/>
    <w:rsid w:val="00CE436B"/>
    <w:rsid w:val="00CE7493"/>
    <w:rsid w:val="00CF0621"/>
    <w:rsid w:val="00CF0C4B"/>
    <w:rsid w:val="00CF0FC4"/>
    <w:rsid w:val="00CF2897"/>
    <w:rsid w:val="00CF2E22"/>
    <w:rsid w:val="00CF4069"/>
    <w:rsid w:val="00CF4585"/>
    <w:rsid w:val="00CF55C6"/>
    <w:rsid w:val="00CF60C0"/>
    <w:rsid w:val="00CF632C"/>
    <w:rsid w:val="00CF6932"/>
    <w:rsid w:val="00D00714"/>
    <w:rsid w:val="00D0116D"/>
    <w:rsid w:val="00D014BD"/>
    <w:rsid w:val="00D01FE3"/>
    <w:rsid w:val="00D02E5E"/>
    <w:rsid w:val="00D02E89"/>
    <w:rsid w:val="00D0376A"/>
    <w:rsid w:val="00D0381E"/>
    <w:rsid w:val="00D044DF"/>
    <w:rsid w:val="00D05CBF"/>
    <w:rsid w:val="00D068F3"/>
    <w:rsid w:val="00D06CA3"/>
    <w:rsid w:val="00D0724C"/>
    <w:rsid w:val="00D07A1A"/>
    <w:rsid w:val="00D07F46"/>
    <w:rsid w:val="00D14C54"/>
    <w:rsid w:val="00D15AA9"/>
    <w:rsid w:val="00D1649D"/>
    <w:rsid w:val="00D16673"/>
    <w:rsid w:val="00D170E5"/>
    <w:rsid w:val="00D1738C"/>
    <w:rsid w:val="00D2130E"/>
    <w:rsid w:val="00D2143B"/>
    <w:rsid w:val="00D229BB"/>
    <w:rsid w:val="00D27381"/>
    <w:rsid w:val="00D27A7C"/>
    <w:rsid w:val="00D32A7A"/>
    <w:rsid w:val="00D3323F"/>
    <w:rsid w:val="00D354CD"/>
    <w:rsid w:val="00D37F2F"/>
    <w:rsid w:val="00D4071D"/>
    <w:rsid w:val="00D41583"/>
    <w:rsid w:val="00D415B9"/>
    <w:rsid w:val="00D42F4B"/>
    <w:rsid w:val="00D43167"/>
    <w:rsid w:val="00D474F0"/>
    <w:rsid w:val="00D4783F"/>
    <w:rsid w:val="00D47D47"/>
    <w:rsid w:val="00D50D11"/>
    <w:rsid w:val="00D51781"/>
    <w:rsid w:val="00D51CE0"/>
    <w:rsid w:val="00D528E8"/>
    <w:rsid w:val="00D52C54"/>
    <w:rsid w:val="00D5520E"/>
    <w:rsid w:val="00D55A33"/>
    <w:rsid w:val="00D55C39"/>
    <w:rsid w:val="00D56079"/>
    <w:rsid w:val="00D57754"/>
    <w:rsid w:val="00D61C26"/>
    <w:rsid w:val="00D62D88"/>
    <w:rsid w:val="00D63AA6"/>
    <w:rsid w:val="00D645C0"/>
    <w:rsid w:val="00D66375"/>
    <w:rsid w:val="00D66463"/>
    <w:rsid w:val="00D70CAD"/>
    <w:rsid w:val="00D7201E"/>
    <w:rsid w:val="00D72234"/>
    <w:rsid w:val="00D74FB6"/>
    <w:rsid w:val="00D76987"/>
    <w:rsid w:val="00D771D0"/>
    <w:rsid w:val="00D77720"/>
    <w:rsid w:val="00D7799F"/>
    <w:rsid w:val="00D80682"/>
    <w:rsid w:val="00D81EF3"/>
    <w:rsid w:val="00D829CD"/>
    <w:rsid w:val="00D82DE3"/>
    <w:rsid w:val="00D835CF"/>
    <w:rsid w:val="00D83631"/>
    <w:rsid w:val="00D84631"/>
    <w:rsid w:val="00D85377"/>
    <w:rsid w:val="00D85F83"/>
    <w:rsid w:val="00D91769"/>
    <w:rsid w:val="00D91952"/>
    <w:rsid w:val="00D92901"/>
    <w:rsid w:val="00D931B3"/>
    <w:rsid w:val="00D938E5"/>
    <w:rsid w:val="00D9453D"/>
    <w:rsid w:val="00D947E6"/>
    <w:rsid w:val="00D94CC6"/>
    <w:rsid w:val="00D9564D"/>
    <w:rsid w:val="00D96550"/>
    <w:rsid w:val="00D96814"/>
    <w:rsid w:val="00DA26FB"/>
    <w:rsid w:val="00DA36BE"/>
    <w:rsid w:val="00DA7A27"/>
    <w:rsid w:val="00DB0458"/>
    <w:rsid w:val="00DB2FC9"/>
    <w:rsid w:val="00DB37B4"/>
    <w:rsid w:val="00DB5275"/>
    <w:rsid w:val="00DB6265"/>
    <w:rsid w:val="00DB6C3D"/>
    <w:rsid w:val="00DB6E71"/>
    <w:rsid w:val="00DB7CA4"/>
    <w:rsid w:val="00DC005B"/>
    <w:rsid w:val="00DC13C4"/>
    <w:rsid w:val="00DC1B96"/>
    <w:rsid w:val="00DC32A8"/>
    <w:rsid w:val="00DC38CE"/>
    <w:rsid w:val="00DC3E05"/>
    <w:rsid w:val="00DC4C0D"/>
    <w:rsid w:val="00DC5ACF"/>
    <w:rsid w:val="00DC7E96"/>
    <w:rsid w:val="00DD3573"/>
    <w:rsid w:val="00DD64A1"/>
    <w:rsid w:val="00DD7468"/>
    <w:rsid w:val="00DE25E9"/>
    <w:rsid w:val="00DE320C"/>
    <w:rsid w:val="00DE3EB5"/>
    <w:rsid w:val="00DE4165"/>
    <w:rsid w:val="00DE46E1"/>
    <w:rsid w:val="00DE71D3"/>
    <w:rsid w:val="00DE72CF"/>
    <w:rsid w:val="00DE7309"/>
    <w:rsid w:val="00DE7EA4"/>
    <w:rsid w:val="00DF08A0"/>
    <w:rsid w:val="00DF145B"/>
    <w:rsid w:val="00DF24D8"/>
    <w:rsid w:val="00DF2D0B"/>
    <w:rsid w:val="00DF3480"/>
    <w:rsid w:val="00DF470F"/>
    <w:rsid w:val="00DF48DA"/>
    <w:rsid w:val="00DF6306"/>
    <w:rsid w:val="00DF69C6"/>
    <w:rsid w:val="00DF7201"/>
    <w:rsid w:val="00E0363B"/>
    <w:rsid w:val="00E05C33"/>
    <w:rsid w:val="00E06C51"/>
    <w:rsid w:val="00E06C7F"/>
    <w:rsid w:val="00E11A34"/>
    <w:rsid w:val="00E13897"/>
    <w:rsid w:val="00E13BEF"/>
    <w:rsid w:val="00E1700F"/>
    <w:rsid w:val="00E215A4"/>
    <w:rsid w:val="00E22DC1"/>
    <w:rsid w:val="00E2319E"/>
    <w:rsid w:val="00E25FC3"/>
    <w:rsid w:val="00E267A0"/>
    <w:rsid w:val="00E278B3"/>
    <w:rsid w:val="00E30827"/>
    <w:rsid w:val="00E32572"/>
    <w:rsid w:val="00E327C7"/>
    <w:rsid w:val="00E34F54"/>
    <w:rsid w:val="00E35DDF"/>
    <w:rsid w:val="00E37BEE"/>
    <w:rsid w:val="00E402BC"/>
    <w:rsid w:val="00E40313"/>
    <w:rsid w:val="00E413EC"/>
    <w:rsid w:val="00E4349E"/>
    <w:rsid w:val="00E44683"/>
    <w:rsid w:val="00E45547"/>
    <w:rsid w:val="00E50151"/>
    <w:rsid w:val="00E51002"/>
    <w:rsid w:val="00E521FA"/>
    <w:rsid w:val="00E52D42"/>
    <w:rsid w:val="00E5335E"/>
    <w:rsid w:val="00E53B32"/>
    <w:rsid w:val="00E5404F"/>
    <w:rsid w:val="00E55E97"/>
    <w:rsid w:val="00E55EFA"/>
    <w:rsid w:val="00E56973"/>
    <w:rsid w:val="00E60009"/>
    <w:rsid w:val="00E619E1"/>
    <w:rsid w:val="00E63605"/>
    <w:rsid w:val="00E649CD"/>
    <w:rsid w:val="00E65670"/>
    <w:rsid w:val="00E66C8B"/>
    <w:rsid w:val="00E67E0A"/>
    <w:rsid w:val="00E70760"/>
    <w:rsid w:val="00E70F8E"/>
    <w:rsid w:val="00E71A08"/>
    <w:rsid w:val="00E72A7F"/>
    <w:rsid w:val="00E80528"/>
    <w:rsid w:val="00E822F0"/>
    <w:rsid w:val="00E82ED3"/>
    <w:rsid w:val="00E843A7"/>
    <w:rsid w:val="00E84E1C"/>
    <w:rsid w:val="00E85161"/>
    <w:rsid w:val="00E867FA"/>
    <w:rsid w:val="00E8794F"/>
    <w:rsid w:val="00E87A2E"/>
    <w:rsid w:val="00E90134"/>
    <w:rsid w:val="00E90DE3"/>
    <w:rsid w:val="00E911BF"/>
    <w:rsid w:val="00E9234E"/>
    <w:rsid w:val="00E9253C"/>
    <w:rsid w:val="00E92A22"/>
    <w:rsid w:val="00E93D01"/>
    <w:rsid w:val="00E94BDD"/>
    <w:rsid w:val="00E95174"/>
    <w:rsid w:val="00E97329"/>
    <w:rsid w:val="00EA156E"/>
    <w:rsid w:val="00EA2252"/>
    <w:rsid w:val="00EA232B"/>
    <w:rsid w:val="00EA373B"/>
    <w:rsid w:val="00EA5747"/>
    <w:rsid w:val="00EA5ADE"/>
    <w:rsid w:val="00EB02EE"/>
    <w:rsid w:val="00EB3CF0"/>
    <w:rsid w:val="00EB40D8"/>
    <w:rsid w:val="00EB45B5"/>
    <w:rsid w:val="00EB5E57"/>
    <w:rsid w:val="00EB61DB"/>
    <w:rsid w:val="00EC0B67"/>
    <w:rsid w:val="00EC0E59"/>
    <w:rsid w:val="00EC133E"/>
    <w:rsid w:val="00EC148B"/>
    <w:rsid w:val="00EC2B22"/>
    <w:rsid w:val="00EC37DE"/>
    <w:rsid w:val="00EC576B"/>
    <w:rsid w:val="00EC605D"/>
    <w:rsid w:val="00EC6E62"/>
    <w:rsid w:val="00ED0219"/>
    <w:rsid w:val="00ED04EF"/>
    <w:rsid w:val="00ED1AD0"/>
    <w:rsid w:val="00ED1E6E"/>
    <w:rsid w:val="00ED2423"/>
    <w:rsid w:val="00ED42A9"/>
    <w:rsid w:val="00ED497B"/>
    <w:rsid w:val="00ED4AFD"/>
    <w:rsid w:val="00ED5750"/>
    <w:rsid w:val="00ED6776"/>
    <w:rsid w:val="00ED7087"/>
    <w:rsid w:val="00ED70C5"/>
    <w:rsid w:val="00ED7421"/>
    <w:rsid w:val="00EE0100"/>
    <w:rsid w:val="00EE1E8E"/>
    <w:rsid w:val="00EE4FBE"/>
    <w:rsid w:val="00EE56DA"/>
    <w:rsid w:val="00EE5EA9"/>
    <w:rsid w:val="00EE64ED"/>
    <w:rsid w:val="00EE64FE"/>
    <w:rsid w:val="00EE7BD3"/>
    <w:rsid w:val="00EF126F"/>
    <w:rsid w:val="00EF3611"/>
    <w:rsid w:val="00EF3FDC"/>
    <w:rsid w:val="00EF4E40"/>
    <w:rsid w:val="00F00CB1"/>
    <w:rsid w:val="00F038A1"/>
    <w:rsid w:val="00F048DE"/>
    <w:rsid w:val="00F059B4"/>
    <w:rsid w:val="00F06E4E"/>
    <w:rsid w:val="00F07346"/>
    <w:rsid w:val="00F0766E"/>
    <w:rsid w:val="00F146C6"/>
    <w:rsid w:val="00F146EA"/>
    <w:rsid w:val="00F14CC6"/>
    <w:rsid w:val="00F15C3A"/>
    <w:rsid w:val="00F16C3A"/>
    <w:rsid w:val="00F21D02"/>
    <w:rsid w:val="00F2275E"/>
    <w:rsid w:val="00F23472"/>
    <w:rsid w:val="00F2458C"/>
    <w:rsid w:val="00F24AFE"/>
    <w:rsid w:val="00F279EC"/>
    <w:rsid w:val="00F31DD2"/>
    <w:rsid w:val="00F32828"/>
    <w:rsid w:val="00F33FF7"/>
    <w:rsid w:val="00F36577"/>
    <w:rsid w:val="00F36971"/>
    <w:rsid w:val="00F37C9D"/>
    <w:rsid w:val="00F40361"/>
    <w:rsid w:val="00F40E3F"/>
    <w:rsid w:val="00F41EC7"/>
    <w:rsid w:val="00F42A52"/>
    <w:rsid w:val="00F42F50"/>
    <w:rsid w:val="00F43C5C"/>
    <w:rsid w:val="00F45FCB"/>
    <w:rsid w:val="00F460EE"/>
    <w:rsid w:val="00F47431"/>
    <w:rsid w:val="00F50A12"/>
    <w:rsid w:val="00F51E01"/>
    <w:rsid w:val="00F5359B"/>
    <w:rsid w:val="00F53D11"/>
    <w:rsid w:val="00F55B78"/>
    <w:rsid w:val="00F5649A"/>
    <w:rsid w:val="00F57856"/>
    <w:rsid w:val="00F57EAF"/>
    <w:rsid w:val="00F63408"/>
    <w:rsid w:val="00F636EC"/>
    <w:rsid w:val="00F63D6B"/>
    <w:rsid w:val="00F656D8"/>
    <w:rsid w:val="00F66FDA"/>
    <w:rsid w:val="00F67421"/>
    <w:rsid w:val="00F67DC5"/>
    <w:rsid w:val="00F713F1"/>
    <w:rsid w:val="00F71DB5"/>
    <w:rsid w:val="00F72A29"/>
    <w:rsid w:val="00F732BE"/>
    <w:rsid w:val="00F764E6"/>
    <w:rsid w:val="00F77D7D"/>
    <w:rsid w:val="00F8002D"/>
    <w:rsid w:val="00F807F8"/>
    <w:rsid w:val="00F8110B"/>
    <w:rsid w:val="00F81687"/>
    <w:rsid w:val="00F82342"/>
    <w:rsid w:val="00F84F33"/>
    <w:rsid w:val="00F85B9C"/>
    <w:rsid w:val="00F860EE"/>
    <w:rsid w:val="00F877DB"/>
    <w:rsid w:val="00F91AE4"/>
    <w:rsid w:val="00F93C8B"/>
    <w:rsid w:val="00F959DD"/>
    <w:rsid w:val="00F960D5"/>
    <w:rsid w:val="00F96976"/>
    <w:rsid w:val="00FA2378"/>
    <w:rsid w:val="00FA2584"/>
    <w:rsid w:val="00FA3D0A"/>
    <w:rsid w:val="00FA64C0"/>
    <w:rsid w:val="00FA7DEB"/>
    <w:rsid w:val="00FB0C30"/>
    <w:rsid w:val="00FB1231"/>
    <w:rsid w:val="00FB21CC"/>
    <w:rsid w:val="00FB22F4"/>
    <w:rsid w:val="00FB22F7"/>
    <w:rsid w:val="00FB68F9"/>
    <w:rsid w:val="00FC1C5C"/>
    <w:rsid w:val="00FC3AC4"/>
    <w:rsid w:val="00FC41B1"/>
    <w:rsid w:val="00FC6B2B"/>
    <w:rsid w:val="00FC7193"/>
    <w:rsid w:val="00FC7BE7"/>
    <w:rsid w:val="00FD127B"/>
    <w:rsid w:val="00FD3E74"/>
    <w:rsid w:val="00FD42E5"/>
    <w:rsid w:val="00FD5C94"/>
    <w:rsid w:val="00FD6522"/>
    <w:rsid w:val="00FD6A7F"/>
    <w:rsid w:val="00FD6B3F"/>
    <w:rsid w:val="00FE09C6"/>
    <w:rsid w:val="00FE17E2"/>
    <w:rsid w:val="00FE1A74"/>
    <w:rsid w:val="00FE21FE"/>
    <w:rsid w:val="00FE2898"/>
    <w:rsid w:val="00FE39D7"/>
    <w:rsid w:val="00FE3A79"/>
    <w:rsid w:val="00FE5C1C"/>
    <w:rsid w:val="00FE6028"/>
    <w:rsid w:val="00FE68AE"/>
    <w:rsid w:val="00FF1C01"/>
    <w:rsid w:val="00FF2690"/>
    <w:rsid w:val="00FF6E4B"/>
    <w:rsid w:val="00FF77F8"/>
    <w:rsid w:val="0244CB1E"/>
    <w:rsid w:val="0912D0C6"/>
    <w:rsid w:val="096124CF"/>
    <w:rsid w:val="0CD6EF1C"/>
    <w:rsid w:val="151369D1"/>
    <w:rsid w:val="16AC954C"/>
    <w:rsid w:val="180DCE59"/>
    <w:rsid w:val="196A5FAA"/>
    <w:rsid w:val="228D795E"/>
    <w:rsid w:val="2436EF00"/>
    <w:rsid w:val="25513473"/>
    <w:rsid w:val="2615BE12"/>
    <w:rsid w:val="276E8FC2"/>
    <w:rsid w:val="29E40709"/>
    <w:rsid w:val="2A35AC75"/>
    <w:rsid w:val="2C4A8220"/>
    <w:rsid w:val="2C8E7912"/>
    <w:rsid w:val="2F5240FF"/>
    <w:rsid w:val="30CA5F8E"/>
    <w:rsid w:val="31A2C726"/>
    <w:rsid w:val="322D1702"/>
    <w:rsid w:val="35FE7EB8"/>
    <w:rsid w:val="3AA62BE1"/>
    <w:rsid w:val="3BBAD0EB"/>
    <w:rsid w:val="407C6527"/>
    <w:rsid w:val="422FD4E6"/>
    <w:rsid w:val="425BF225"/>
    <w:rsid w:val="43AA8204"/>
    <w:rsid w:val="46443B4D"/>
    <w:rsid w:val="488567FF"/>
    <w:rsid w:val="490F4473"/>
    <w:rsid w:val="4D50D095"/>
    <w:rsid w:val="4FFE8E11"/>
    <w:rsid w:val="5247BC80"/>
    <w:rsid w:val="58275047"/>
    <w:rsid w:val="5A162B40"/>
    <w:rsid w:val="5D1D82AA"/>
    <w:rsid w:val="5F9C9747"/>
    <w:rsid w:val="62731F95"/>
    <w:rsid w:val="63544023"/>
    <w:rsid w:val="6542B57A"/>
    <w:rsid w:val="66F7AE38"/>
    <w:rsid w:val="6D1F96FD"/>
    <w:rsid w:val="6FF38320"/>
    <w:rsid w:val="71B2D0E1"/>
    <w:rsid w:val="7359E7CC"/>
    <w:rsid w:val="74ADCBE6"/>
    <w:rsid w:val="74F5B82D"/>
    <w:rsid w:val="775E9908"/>
    <w:rsid w:val="77A77A12"/>
    <w:rsid w:val="7903BFDD"/>
    <w:rsid w:val="7BA66891"/>
    <w:rsid w:val="7F0E1C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01066DAC-B951-4F4E-AC3C-8C39C8C8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A4383F"/>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nhideWhenUsed/>
    <w:rsid w:val="00A4383F"/>
    <w:pPr>
      <w:spacing w:after="120"/>
      <w:ind w:left="283"/>
    </w:pPr>
    <w:rPr>
      <w:sz w:val="16"/>
      <w:szCs w:val="16"/>
    </w:rPr>
  </w:style>
  <w:style w:type="character" w:customStyle="1" w:styleId="BodyTextIndent3Char">
    <w:name w:val="Body Text Indent 3 Char"/>
    <w:basedOn w:val="DefaultParagraphFont"/>
    <w:link w:val="BodyTextIndent3"/>
    <w:rsid w:val="00A4383F"/>
    <w:rPr>
      <w:rFonts w:ascii="Arial" w:hAnsi="Arial"/>
      <w:sz w:val="16"/>
      <w:szCs w:val="16"/>
      <w:lang w:eastAsia="en-US"/>
    </w:rPr>
  </w:style>
  <w:style w:type="paragraph" w:styleId="BodyTextIndent">
    <w:name w:val="Body Text Indent"/>
    <w:basedOn w:val="Normal"/>
    <w:link w:val="BodyTextIndentChar"/>
    <w:unhideWhenUsed/>
    <w:rsid w:val="00A4383F"/>
    <w:pPr>
      <w:spacing w:after="120"/>
      <w:ind w:left="283"/>
    </w:pPr>
  </w:style>
  <w:style w:type="character" w:customStyle="1" w:styleId="BodyTextIndentChar">
    <w:name w:val="Body Text Indent Char"/>
    <w:basedOn w:val="DefaultParagraphFont"/>
    <w:link w:val="BodyTextIndent"/>
    <w:rsid w:val="00A4383F"/>
    <w:rPr>
      <w:rFonts w:ascii="Arial" w:hAnsi="Arial"/>
      <w:sz w:val="24"/>
      <w:lang w:eastAsia="en-US"/>
    </w:rPr>
  </w:style>
  <w:style w:type="character" w:styleId="CommentReference">
    <w:name w:val="annotation reference"/>
    <w:basedOn w:val="DefaultParagraphFont"/>
    <w:uiPriority w:val="99"/>
    <w:unhideWhenUsed/>
    <w:rsid w:val="00966C52"/>
    <w:rPr>
      <w:sz w:val="16"/>
      <w:szCs w:val="16"/>
    </w:rPr>
  </w:style>
  <w:style w:type="paragraph" w:styleId="CommentText">
    <w:name w:val="annotation text"/>
    <w:basedOn w:val="Normal"/>
    <w:link w:val="CommentTextChar"/>
    <w:uiPriority w:val="99"/>
    <w:unhideWhenUsed/>
    <w:rsid w:val="00966C52"/>
    <w:rPr>
      <w:sz w:val="20"/>
    </w:rPr>
  </w:style>
  <w:style w:type="character" w:customStyle="1" w:styleId="CommentTextChar">
    <w:name w:val="Comment Text Char"/>
    <w:basedOn w:val="DefaultParagraphFont"/>
    <w:link w:val="CommentText"/>
    <w:uiPriority w:val="99"/>
    <w:rsid w:val="00966C52"/>
    <w:rPr>
      <w:rFonts w:ascii="Arial" w:hAnsi="Arial"/>
      <w:lang w:eastAsia="en-US"/>
    </w:rPr>
  </w:style>
  <w:style w:type="paragraph" w:styleId="CommentSubject">
    <w:name w:val="annotation subject"/>
    <w:basedOn w:val="CommentText"/>
    <w:next w:val="CommentText"/>
    <w:link w:val="CommentSubjectChar"/>
    <w:semiHidden/>
    <w:unhideWhenUsed/>
    <w:rsid w:val="00966C52"/>
    <w:rPr>
      <w:b/>
      <w:bCs/>
    </w:rPr>
  </w:style>
  <w:style w:type="character" w:customStyle="1" w:styleId="CommentSubjectChar">
    <w:name w:val="Comment Subject Char"/>
    <w:basedOn w:val="CommentTextChar"/>
    <w:link w:val="CommentSubject"/>
    <w:semiHidden/>
    <w:rsid w:val="00966C52"/>
    <w:rPr>
      <w:rFonts w:ascii="Arial" w:hAnsi="Arial"/>
      <w:b/>
      <w:bCs/>
      <w:lang w:eastAsia="en-US"/>
    </w:rPr>
  </w:style>
  <w:style w:type="paragraph" w:styleId="Revision">
    <w:name w:val="Revision"/>
    <w:hidden/>
    <w:uiPriority w:val="99"/>
    <w:semiHidden/>
    <w:rsid w:val="0028495D"/>
    <w:rPr>
      <w:rFonts w:ascii="Arial" w:hAnsi="Arial"/>
      <w:sz w:val="24"/>
      <w:lang w:eastAsia="en-US"/>
    </w:rPr>
  </w:style>
  <w:style w:type="character" w:customStyle="1" w:styleId="normaltextrun">
    <w:name w:val="normaltextrun"/>
    <w:basedOn w:val="DefaultParagraphFont"/>
    <w:rsid w:val="001E7581"/>
  </w:style>
  <w:style w:type="character" w:customStyle="1" w:styleId="eop">
    <w:name w:val="eop"/>
    <w:basedOn w:val="DefaultParagraphFont"/>
    <w:rsid w:val="001E7581"/>
  </w:style>
  <w:style w:type="paragraph" w:customStyle="1" w:styleId="paragraph">
    <w:name w:val="paragraph"/>
    <w:basedOn w:val="Normal"/>
    <w:rsid w:val="004043BC"/>
    <w:pPr>
      <w:spacing w:before="100" w:beforeAutospacing="1" w:after="100" w:afterAutospacing="1"/>
    </w:pPr>
    <w:rPr>
      <w:rFonts w:ascii="Times New Roman" w:hAnsi="Times New Roman"/>
      <w:szCs w:val="24"/>
      <w:lang w:eastAsia="en-GB"/>
    </w:rPr>
  </w:style>
  <w:style w:type="character" w:customStyle="1" w:styleId="findhit">
    <w:name w:val="findhit"/>
    <w:basedOn w:val="DefaultParagraphFont"/>
    <w:rsid w:val="004043BC"/>
  </w:style>
  <w:style w:type="character" w:customStyle="1" w:styleId="FootnoteTextChar">
    <w:name w:val="Footnote Text Char"/>
    <w:basedOn w:val="DefaultParagraphFont"/>
    <w:link w:val="FootnoteText"/>
    <w:uiPriority w:val="99"/>
    <w:semiHidden/>
    <w:rsid w:val="00A324C6"/>
    <w:rPr>
      <w:lang w:eastAsia="en-US"/>
    </w:rPr>
  </w:style>
  <w:style w:type="character" w:customStyle="1" w:styleId="Heading3Char">
    <w:name w:val="Heading 3 Char"/>
    <w:basedOn w:val="DefaultParagraphFont"/>
    <w:link w:val="Heading3"/>
    <w:rsid w:val="00901BD9"/>
    <w:rPr>
      <w:rFonts w:ascii="Arial" w:hAnsi="Arial" w:cs="Arial"/>
      <w:b/>
      <w:bCs/>
      <w:sz w:val="28"/>
      <w:szCs w:val="28"/>
      <w:lang w:eastAsia="en-US"/>
    </w:rPr>
  </w:style>
  <w:style w:type="character" w:customStyle="1" w:styleId="markedcontent">
    <w:name w:val="markedcontent"/>
    <w:basedOn w:val="DefaultParagraphFont"/>
    <w:rsid w:val="003F14E4"/>
  </w:style>
  <w:style w:type="character" w:customStyle="1" w:styleId="FooterChar">
    <w:name w:val="Footer Char"/>
    <w:basedOn w:val="DefaultParagraphFont"/>
    <w:link w:val="Footer"/>
    <w:uiPriority w:val="99"/>
    <w:rsid w:val="00ED2423"/>
    <w:rPr>
      <w:rFonts w:ascii="Arial" w:hAnsi="Arial"/>
      <w:sz w:val="24"/>
      <w:szCs w:val="24"/>
      <w:lang w:val="en-US" w:eastAsia="en-US"/>
    </w:rPr>
  </w:style>
  <w:style w:type="character" w:styleId="Emphasis">
    <w:name w:val="Emphasis"/>
    <w:basedOn w:val="DefaultParagraphFont"/>
    <w:qFormat/>
    <w:rsid w:val="000275FC"/>
    <w:rPr>
      <w:i/>
      <w:iCs/>
    </w:rPr>
  </w:style>
  <w:style w:type="character" w:styleId="UnresolvedMention">
    <w:name w:val="Unresolved Mention"/>
    <w:basedOn w:val="DefaultParagraphFont"/>
    <w:uiPriority w:val="99"/>
    <w:semiHidden/>
    <w:unhideWhenUsed/>
    <w:rsid w:val="0050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229">
      <w:bodyDiv w:val="1"/>
      <w:marLeft w:val="0"/>
      <w:marRight w:val="0"/>
      <w:marTop w:val="0"/>
      <w:marBottom w:val="0"/>
      <w:divBdr>
        <w:top w:val="none" w:sz="0" w:space="0" w:color="auto"/>
        <w:left w:val="none" w:sz="0" w:space="0" w:color="auto"/>
        <w:bottom w:val="none" w:sz="0" w:space="0" w:color="auto"/>
        <w:right w:val="none" w:sz="0" w:space="0" w:color="auto"/>
      </w:divBdr>
    </w:div>
    <w:div w:id="49577365">
      <w:bodyDiv w:val="1"/>
      <w:marLeft w:val="0"/>
      <w:marRight w:val="0"/>
      <w:marTop w:val="0"/>
      <w:marBottom w:val="0"/>
      <w:divBdr>
        <w:top w:val="none" w:sz="0" w:space="0" w:color="auto"/>
        <w:left w:val="none" w:sz="0" w:space="0" w:color="auto"/>
        <w:bottom w:val="none" w:sz="0" w:space="0" w:color="auto"/>
        <w:right w:val="none" w:sz="0" w:space="0" w:color="auto"/>
      </w:divBdr>
    </w:div>
    <w:div w:id="79527703">
      <w:bodyDiv w:val="1"/>
      <w:marLeft w:val="0"/>
      <w:marRight w:val="0"/>
      <w:marTop w:val="0"/>
      <w:marBottom w:val="0"/>
      <w:divBdr>
        <w:top w:val="none" w:sz="0" w:space="0" w:color="auto"/>
        <w:left w:val="none" w:sz="0" w:space="0" w:color="auto"/>
        <w:bottom w:val="none" w:sz="0" w:space="0" w:color="auto"/>
        <w:right w:val="none" w:sz="0" w:space="0" w:color="auto"/>
      </w:divBdr>
    </w:div>
    <w:div w:id="12080495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3249918">
      <w:bodyDiv w:val="1"/>
      <w:marLeft w:val="0"/>
      <w:marRight w:val="0"/>
      <w:marTop w:val="0"/>
      <w:marBottom w:val="0"/>
      <w:divBdr>
        <w:top w:val="none" w:sz="0" w:space="0" w:color="auto"/>
        <w:left w:val="none" w:sz="0" w:space="0" w:color="auto"/>
        <w:bottom w:val="none" w:sz="0" w:space="0" w:color="auto"/>
        <w:right w:val="none" w:sz="0" w:space="0" w:color="auto"/>
      </w:divBdr>
    </w:div>
    <w:div w:id="237442602">
      <w:bodyDiv w:val="1"/>
      <w:marLeft w:val="0"/>
      <w:marRight w:val="0"/>
      <w:marTop w:val="0"/>
      <w:marBottom w:val="0"/>
      <w:divBdr>
        <w:top w:val="none" w:sz="0" w:space="0" w:color="auto"/>
        <w:left w:val="none" w:sz="0" w:space="0" w:color="auto"/>
        <w:bottom w:val="none" w:sz="0" w:space="0" w:color="auto"/>
        <w:right w:val="none" w:sz="0" w:space="0" w:color="auto"/>
      </w:divBdr>
    </w:div>
    <w:div w:id="244151672">
      <w:bodyDiv w:val="1"/>
      <w:marLeft w:val="0"/>
      <w:marRight w:val="0"/>
      <w:marTop w:val="0"/>
      <w:marBottom w:val="0"/>
      <w:divBdr>
        <w:top w:val="none" w:sz="0" w:space="0" w:color="auto"/>
        <w:left w:val="none" w:sz="0" w:space="0" w:color="auto"/>
        <w:bottom w:val="none" w:sz="0" w:space="0" w:color="auto"/>
        <w:right w:val="none" w:sz="0" w:space="0" w:color="auto"/>
      </w:divBdr>
    </w:div>
    <w:div w:id="253175108">
      <w:bodyDiv w:val="1"/>
      <w:marLeft w:val="0"/>
      <w:marRight w:val="0"/>
      <w:marTop w:val="0"/>
      <w:marBottom w:val="0"/>
      <w:divBdr>
        <w:top w:val="none" w:sz="0" w:space="0" w:color="auto"/>
        <w:left w:val="none" w:sz="0" w:space="0" w:color="auto"/>
        <w:bottom w:val="none" w:sz="0" w:space="0" w:color="auto"/>
        <w:right w:val="none" w:sz="0" w:space="0" w:color="auto"/>
      </w:divBdr>
    </w:div>
    <w:div w:id="276103230">
      <w:bodyDiv w:val="1"/>
      <w:marLeft w:val="0"/>
      <w:marRight w:val="0"/>
      <w:marTop w:val="0"/>
      <w:marBottom w:val="0"/>
      <w:divBdr>
        <w:top w:val="none" w:sz="0" w:space="0" w:color="auto"/>
        <w:left w:val="none" w:sz="0" w:space="0" w:color="auto"/>
        <w:bottom w:val="none" w:sz="0" w:space="0" w:color="auto"/>
        <w:right w:val="none" w:sz="0" w:space="0" w:color="auto"/>
      </w:divBdr>
    </w:div>
    <w:div w:id="325742297">
      <w:bodyDiv w:val="1"/>
      <w:marLeft w:val="0"/>
      <w:marRight w:val="0"/>
      <w:marTop w:val="0"/>
      <w:marBottom w:val="0"/>
      <w:divBdr>
        <w:top w:val="none" w:sz="0" w:space="0" w:color="auto"/>
        <w:left w:val="none" w:sz="0" w:space="0" w:color="auto"/>
        <w:bottom w:val="none" w:sz="0" w:space="0" w:color="auto"/>
        <w:right w:val="none" w:sz="0" w:space="0" w:color="auto"/>
      </w:divBdr>
    </w:div>
    <w:div w:id="331639025">
      <w:bodyDiv w:val="1"/>
      <w:marLeft w:val="0"/>
      <w:marRight w:val="0"/>
      <w:marTop w:val="0"/>
      <w:marBottom w:val="0"/>
      <w:divBdr>
        <w:top w:val="none" w:sz="0" w:space="0" w:color="auto"/>
        <w:left w:val="none" w:sz="0" w:space="0" w:color="auto"/>
        <w:bottom w:val="none" w:sz="0" w:space="0" w:color="auto"/>
        <w:right w:val="none" w:sz="0" w:space="0" w:color="auto"/>
      </w:divBdr>
    </w:div>
    <w:div w:id="407505805">
      <w:bodyDiv w:val="1"/>
      <w:marLeft w:val="0"/>
      <w:marRight w:val="0"/>
      <w:marTop w:val="0"/>
      <w:marBottom w:val="0"/>
      <w:divBdr>
        <w:top w:val="none" w:sz="0" w:space="0" w:color="auto"/>
        <w:left w:val="none" w:sz="0" w:space="0" w:color="auto"/>
        <w:bottom w:val="none" w:sz="0" w:space="0" w:color="auto"/>
        <w:right w:val="none" w:sz="0" w:space="0" w:color="auto"/>
      </w:divBdr>
    </w:div>
    <w:div w:id="408187719">
      <w:bodyDiv w:val="1"/>
      <w:marLeft w:val="0"/>
      <w:marRight w:val="0"/>
      <w:marTop w:val="0"/>
      <w:marBottom w:val="0"/>
      <w:divBdr>
        <w:top w:val="none" w:sz="0" w:space="0" w:color="auto"/>
        <w:left w:val="none" w:sz="0" w:space="0" w:color="auto"/>
        <w:bottom w:val="none" w:sz="0" w:space="0" w:color="auto"/>
        <w:right w:val="none" w:sz="0" w:space="0" w:color="auto"/>
      </w:divBdr>
    </w:div>
    <w:div w:id="431898505">
      <w:bodyDiv w:val="1"/>
      <w:marLeft w:val="0"/>
      <w:marRight w:val="0"/>
      <w:marTop w:val="0"/>
      <w:marBottom w:val="0"/>
      <w:divBdr>
        <w:top w:val="none" w:sz="0" w:space="0" w:color="auto"/>
        <w:left w:val="none" w:sz="0" w:space="0" w:color="auto"/>
        <w:bottom w:val="none" w:sz="0" w:space="0" w:color="auto"/>
        <w:right w:val="none" w:sz="0" w:space="0" w:color="auto"/>
      </w:divBdr>
    </w:div>
    <w:div w:id="474874081">
      <w:bodyDiv w:val="1"/>
      <w:marLeft w:val="0"/>
      <w:marRight w:val="0"/>
      <w:marTop w:val="0"/>
      <w:marBottom w:val="0"/>
      <w:divBdr>
        <w:top w:val="none" w:sz="0" w:space="0" w:color="auto"/>
        <w:left w:val="none" w:sz="0" w:space="0" w:color="auto"/>
        <w:bottom w:val="none" w:sz="0" w:space="0" w:color="auto"/>
        <w:right w:val="none" w:sz="0" w:space="0" w:color="auto"/>
      </w:divBdr>
    </w:div>
    <w:div w:id="486478013">
      <w:bodyDiv w:val="1"/>
      <w:marLeft w:val="0"/>
      <w:marRight w:val="0"/>
      <w:marTop w:val="0"/>
      <w:marBottom w:val="0"/>
      <w:divBdr>
        <w:top w:val="none" w:sz="0" w:space="0" w:color="auto"/>
        <w:left w:val="none" w:sz="0" w:space="0" w:color="auto"/>
        <w:bottom w:val="none" w:sz="0" w:space="0" w:color="auto"/>
        <w:right w:val="none" w:sz="0" w:space="0" w:color="auto"/>
      </w:divBdr>
    </w:div>
    <w:div w:id="506136529">
      <w:bodyDiv w:val="1"/>
      <w:marLeft w:val="0"/>
      <w:marRight w:val="0"/>
      <w:marTop w:val="0"/>
      <w:marBottom w:val="0"/>
      <w:divBdr>
        <w:top w:val="none" w:sz="0" w:space="0" w:color="auto"/>
        <w:left w:val="none" w:sz="0" w:space="0" w:color="auto"/>
        <w:bottom w:val="none" w:sz="0" w:space="0" w:color="auto"/>
        <w:right w:val="none" w:sz="0" w:space="0" w:color="auto"/>
      </w:divBdr>
    </w:div>
    <w:div w:id="55759270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2905000">
      <w:bodyDiv w:val="1"/>
      <w:marLeft w:val="0"/>
      <w:marRight w:val="0"/>
      <w:marTop w:val="0"/>
      <w:marBottom w:val="0"/>
      <w:divBdr>
        <w:top w:val="none" w:sz="0" w:space="0" w:color="auto"/>
        <w:left w:val="none" w:sz="0" w:space="0" w:color="auto"/>
        <w:bottom w:val="none" w:sz="0" w:space="0" w:color="auto"/>
        <w:right w:val="none" w:sz="0" w:space="0" w:color="auto"/>
      </w:divBdr>
    </w:div>
    <w:div w:id="60381033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8455607">
      <w:bodyDiv w:val="1"/>
      <w:marLeft w:val="0"/>
      <w:marRight w:val="0"/>
      <w:marTop w:val="0"/>
      <w:marBottom w:val="0"/>
      <w:divBdr>
        <w:top w:val="none" w:sz="0" w:space="0" w:color="auto"/>
        <w:left w:val="none" w:sz="0" w:space="0" w:color="auto"/>
        <w:bottom w:val="none" w:sz="0" w:space="0" w:color="auto"/>
        <w:right w:val="none" w:sz="0" w:space="0" w:color="auto"/>
      </w:divBdr>
    </w:div>
    <w:div w:id="841430933">
      <w:bodyDiv w:val="1"/>
      <w:marLeft w:val="0"/>
      <w:marRight w:val="0"/>
      <w:marTop w:val="0"/>
      <w:marBottom w:val="0"/>
      <w:divBdr>
        <w:top w:val="none" w:sz="0" w:space="0" w:color="auto"/>
        <w:left w:val="none" w:sz="0" w:space="0" w:color="auto"/>
        <w:bottom w:val="none" w:sz="0" w:space="0" w:color="auto"/>
        <w:right w:val="none" w:sz="0" w:space="0" w:color="auto"/>
      </w:divBdr>
    </w:div>
    <w:div w:id="87434476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14046629">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4864034">
      <w:bodyDiv w:val="1"/>
      <w:marLeft w:val="0"/>
      <w:marRight w:val="0"/>
      <w:marTop w:val="0"/>
      <w:marBottom w:val="0"/>
      <w:divBdr>
        <w:top w:val="none" w:sz="0" w:space="0" w:color="auto"/>
        <w:left w:val="none" w:sz="0" w:space="0" w:color="auto"/>
        <w:bottom w:val="none" w:sz="0" w:space="0" w:color="auto"/>
        <w:right w:val="none" w:sz="0" w:space="0" w:color="auto"/>
      </w:divBdr>
      <w:divsChild>
        <w:div w:id="712777638">
          <w:marLeft w:val="0"/>
          <w:marRight w:val="0"/>
          <w:marTop w:val="0"/>
          <w:marBottom w:val="0"/>
          <w:divBdr>
            <w:top w:val="none" w:sz="0" w:space="0" w:color="auto"/>
            <w:left w:val="none" w:sz="0" w:space="0" w:color="auto"/>
            <w:bottom w:val="none" w:sz="0" w:space="0" w:color="auto"/>
            <w:right w:val="none" w:sz="0" w:space="0" w:color="auto"/>
          </w:divBdr>
        </w:div>
        <w:div w:id="1406417769">
          <w:marLeft w:val="0"/>
          <w:marRight w:val="0"/>
          <w:marTop w:val="0"/>
          <w:marBottom w:val="0"/>
          <w:divBdr>
            <w:top w:val="none" w:sz="0" w:space="0" w:color="auto"/>
            <w:left w:val="none" w:sz="0" w:space="0" w:color="auto"/>
            <w:bottom w:val="none" w:sz="0" w:space="0" w:color="auto"/>
            <w:right w:val="none" w:sz="0" w:space="0" w:color="auto"/>
          </w:divBdr>
        </w:div>
      </w:divsChild>
    </w:div>
    <w:div w:id="1040738917">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99448250">
      <w:bodyDiv w:val="1"/>
      <w:marLeft w:val="0"/>
      <w:marRight w:val="0"/>
      <w:marTop w:val="0"/>
      <w:marBottom w:val="0"/>
      <w:divBdr>
        <w:top w:val="none" w:sz="0" w:space="0" w:color="auto"/>
        <w:left w:val="none" w:sz="0" w:space="0" w:color="auto"/>
        <w:bottom w:val="none" w:sz="0" w:space="0" w:color="auto"/>
        <w:right w:val="none" w:sz="0" w:space="0" w:color="auto"/>
      </w:divBdr>
    </w:div>
    <w:div w:id="1104497606">
      <w:bodyDiv w:val="1"/>
      <w:marLeft w:val="0"/>
      <w:marRight w:val="0"/>
      <w:marTop w:val="0"/>
      <w:marBottom w:val="0"/>
      <w:divBdr>
        <w:top w:val="none" w:sz="0" w:space="0" w:color="auto"/>
        <w:left w:val="none" w:sz="0" w:space="0" w:color="auto"/>
        <w:bottom w:val="none" w:sz="0" w:space="0" w:color="auto"/>
        <w:right w:val="none" w:sz="0" w:space="0" w:color="auto"/>
      </w:divBdr>
    </w:div>
    <w:div w:id="1176841502">
      <w:bodyDiv w:val="1"/>
      <w:marLeft w:val="0"/>
      <w:marRight w:val="0"/>
      <w:marTop w:val="0"/>
      <w:marBottom w:val="0"/>
      <w:divBdr>
        <w:top w:val="none" w:sz="0" w:space="0" w:color="auto"/>
        <w:left w:val="none" w:sz="0" w:space="0" w:color="auto"/>
        <w:bottom w:val="none" w:sz="0" w:space="0" w:color="auto"/>
        <w:right w:val="none" w:sz="0" w:space="0" w:color="auto"/>
      </w:divBdr>
    </w:div>
    <w:div w:id="1213932008">
      <w:bodyDiv w:val="1"/>
      <w:marLeft w:val="0"/>
      <w:marRight w:val="0"/>
      <w:marTop w:val="0"/>
      <w:marBottom w:val="0"/>
      <w:divBdr>
        <w:top w:val="none" w:sz="0" w:space="0" w:color="auto"/>
        <w:left w:val="none" w:sz="0" w:space="0" w:color="auto"/>
        <w:bottom w:val="none" w:sz="0" w:space="0" w:color="auto"/>
        <w:right w:val="none" w:sz="0" w:space="0" w:color="auto"/>
      </w:divBdr>
    </w:div>
    <w:div w:id="1271739098">
      <w:bodyDiv w:val="1"/>
      <w:marLeft w:val="0"/>
      <w:marRight w:val="0"/>
      <w:marTop w:val="0"/>
      <w:marBottom w:val="0"/>
      <w:divBdr>
        <w:top w:val="none" w:sz="0" w:space="0" w:color="auto"/>
        <w:left w:val="none" w:sz="0" w:space="0" w:color="auto"/>
        <w:bottom w:val="none" w:sz="0" w:space="0" w:color="auto"/>
        <w:right w:val="none" w:sz="0" w:space="0" w:color="auto"/>
      </w:divBdr>
    </w:div>
    <w:div w:id="1309745663">
      <w:bodyDiv w:val="1"/>
      <w:marLeft w:val="0"/>
      <w:marRight w:val="0"/>
      <w:marTop w:val="0"/>
      <w:marBottom w:val="0"/>
      <w:divBdr>
        <w:top w:val="none" w:sz="0" w:space="0" w:color="auto"/>
        <w:left w:val="none" w:sz="0" w:space="0" w:color="auto"/>
        <w:bottom w:val="none" w:sz="0" w:space="0" w:color="auto"/>
        <w:right w:val="none" w:sz="0" w:space="0" w:color="auto"/>
      </w:divBdr>
    </w:div>
    <w:div w:id="1366756574">
      <w:bodyDiv w:val="1"/>
      <w:marLeft w:val="0"/>
      <w:marRight w:val="0"/>
      <w:marTop w:val="0"/>
      <w:marBottom w:val="0"/>
      <w:divBdr>
        <w:top w:val="none" w:sz="0" w:space="0" w:color="auto"/>
        <w:left w:val="none" w:sz="0" w:space="0" w:color="auto"/>
        <w:bottom w:val="none" w:sz="0" w:space="0" w:color="auto"/>
        <w:right w:val="none" w:sz="0" w:space="0" w:color="auto"/>
      </w:divBdr>
    </w:div>
    <w:div w:id="1397389234">
      <w:bodyDiv w:val="1"/>
      <w:marLeft w:val="0"/>
      <w:marRight w:val="0"/>
      <w:marTop w:val="0"/>
      <w:marBottom w:val="0"/>
      <w:divBdr>
        <w:top w:val="none" w:sz="0" w:space="0" w:color="auto"/>
        <w:left w:val="none" w:sz="0" w:space="0" w:color="auto"/>
        <w:bottom w:val="none" w:sz="0" w:space="0" w:color="auto"/>
        <w:right w:val="none" w:sz="0" w:space="0" w:color="auto"/>
      </w:divBdr>
    </w:div>
    <w:div w:id="1403721589">
      <w:bodyDiv w:val="1"/>
      <w:marLeft w:val="0"/>
      <w:marRight w:val="0"/>
      <w:marTop w:val="0"/>
      <w:marBottom w:val="0"/>
      <w:divBdr>
        <w:top w:val="none" w:sz="0" w:space="0" w:color="auto"/>
        <w:left w:val="none" w:sz="0" w:space="0" w:color="auto"/>
        <w:bottom w:val="none" w:sz="0" w:space="0" w:color="auto"/>
        <w:right w:val="none" w:sz="0" w:space="0" w:color="auto"/>
      </w:divBdr>
    </w:div>
    <w:div w:id="1426538128">
      <w:bodyDiv w:val="1"/>
      <w:marLeft w:val="0"/>
      <w:marRight w:val="0"/>
      <w:marTop w:val="0"/>
      <w:marBottom w:val="0"/>
      <w:divBdr>
        <w:top w:val="none" w:sz="0" w:space="0" w:color="auto"/>
        <w:left w:val="none" w:sz="0" w:space="0" w:color="auto"/>
        <w:bottom w:val="none" w:sz="0" w:space="0" w:color="auto"/>
        <w:right w:val="none" w:sz="0" w:space="0" w:color="auto"/>
      </w:divBdr>
    </w:div>
    <w:div w:id="1486816677">
      <w:bodyDiv w:val="1"/>
      <w:marLeft w:val="0"/>
      <w:marRight w:val="0"/>
      <w:marTop w:val="0"/>
      <w:marBottom w:val="0"/>
      <w:divBdr>
        <w:top w:val="none" w:sz="0" w:space="0" w:color="auto"/>
        <w:left w:val="none" w:sz="0" w:space="0" w:color="auto"/>
        <w:bottom w:val="none" w:sz="0" w:space="0" w:color="auto"/>
        <w:right w:val="none" w:sz="0" w:space="0" w:color="auto"/>
      </w:divBdr>
    </w:div>
    <w:div w:id="1508056920">
      <w:bodyDiv w:val="1"/>
      <w:marLeft w:val="0"/>
      <w:marRight w:val="0"/>
      <w:marTop w:val="0"/>
      <w:marBottom w:val="0"/>
      <w:divBdr>
        <w:top w:val="none" w:sz="0" w:space="0" w:color="auto"/>
        <w:left w:val="none" w:sz="0" w:space="0" w:color="auto"/>
        <w:bottom w:val="none" w:sz="0" w:space="0" w:color="auto"/>
        <w:right w:val="none" w:sz="0" w:space="0" w:color="auto"/>
      </w:divBdr>
    </w:div>
    <w:div w:id="1515680752">
      <w:bodyDiv w:val="1"/>
      <w:marLeft w:val="0"/>
      <w:marRight w:val="0"/>
      <w:marTop w:val="0"/>
      <w:marBottom w:val="0"/>
      <w:divBdr>
        <w:top w:val="none" w:sz="0" w:space="0" w:color="auto"/>
        <w:left w:val="none" w:sz="0" w:space="0" w:color="auto"/>
        <w:bottom w:val="none" w:sz="0" w:space="0" w:color="auto"/>
        <w:right w:val="none" w:sz="0" w:space="0" w:color="auto"/>
      </w:divBdr>
    </w:div>
    <w:div w:id="1529102153">
      <w:bodyDiv w:val="1"/>
      <w:marLeft w:val="0"/>
      <w:marRight w:val="0"/>
      <w:marTop w:val="0"/>
      <w:marBottom w:val="0"/>
      <w:divBdr>
        <w:top w:val="none" w:sz="0" w:space="0" w:color="auto"/>
        <w:left w:val="none" w:sz="0" w:space="0" w:color="auto"/>
        <w:bottom w:val="none" w:sz="0" w:space="0" w:color="auto"/>
        <w:right w:val="none" w:sz="0" w:space="0" w:color="auto"/>
      </w:divBdr>
    </w:div>
    <w:div w:id="1531214325">
      <w:bodyDiv w:val="1"/>
      <w:marLeft w:val="0"/>
      <w:marRight w:val="0"/>
      <w:marTop w:val="0"/>
      <w:marBottom w:val="0"/>
      <w:divBdr>
        <w:top w:val="none" w:sz="0" w:space="0" w:color="auto"/>
        <w:left w:val="none" w:sz="0" w:space="0" w:color="auto"/>
        <w:bottom w:val="none" w:sz="0" w:space="0" w:color="auto"/>
        <w:right w:val="none" w:sz="0" w:space="0" w:color="auto"/>
      </w:divBdr>
    </w:div>
    <w:div w:id="1606695693">
      <w:bodyDiv w:val="1"/>
      <w:marLeft w:val="0"/>
      <w:marRight w:val="0"/>
      <w:marTop w:val="0"/>
      <w:marBottom w:val="0"/>
      <w:divBdr>
        <w:top w:val="none" w:sz="0" w:space="0" w:color="auto"/>
        <w:left w:val="none" w:sz="0" w:space="0" w:color="auto"/>
        <w:bottom w:val="none" w:sz="0" w:space="0" w:color="auto"/>
        <w:right w:val="none" w:sz="0" w:space="0" w:color="auto"/>
      </w:divBdr>
    </w:div>
    <w:div w:id="1645506054">
      <w:bodyDiv w:val="1"/>
      <w:marLeft w:val="0"/>
      <w:marRight w:val="0"/>
      <w:marTop w:val="0"/>
      <w:marBottom w:val="0"/>
      <w:divBdr>
        <w:top w:val="none" w:sz="0" w:space="0" w:color="auto"/>
        <w:left w:val="none" w:sz="0" w:space="0" w:color="auto"/>
        <w:bottom w:val="none" w:sz="0" w:space="0" w:color="auto"/>
        <w:right w:val="none" w:sz="0" w:space="0" w:color="auto"/>
      </w:divBdr>
    </w:div>
    <w:div w:id="1687827126">
      <w:bodyDiv w:val="1"/>
      <w:marLeft w:val="0"/>
      <w:marRight w:val="0"/>
      <w:marTop w:val="0"/>
      <w:marBottom w:val="0"/>
      <w:divBdr>
        <w:top w:val="none" w:sz="0" w:space="0" w:color="auto"/>
        <w:left w:val="none" w:sz="0" w:space="0" w:color="auto"/>
        <w:bottom w:val="none" w:sz="0" w:space="0" w:color="auto"/>
        <w:right w:val="none" w:sz="0" w:space="0" w:color="auto"/>
      </w:divBdr>
    </w:div>
    <w:div w:id="1746561520">
      <w:bodyDiv w:val="1"/>
      <w:marLeft w:val="0"/>
      <w:marRight w:val="0"/>
      <w:marTop w:val="0"/>
      <w:marBottom w:val="0"/>
      <w:divBdr>
        <w:top w:val="none" w:sz="0" w:space="0" w:color="auto"/>
        <w:left w:val="none" w:sz="0" w:space="0" w:color="auto"/>
        <w:bottom w:val="none" w:sz="0" w:space="0" w:color="auto"/>
        <w:right w:val="none" w:sz="0" w:space="0" w:color="auto"/>
      </w:divBdr>
      <w:divsChild>
        <w:div w:id="957444690">
          <w:marLeft w:val="720"/>
          <w:marRight w:val="0"/>
          <w:marTop w:val="60"/>
          <w:marBottom w:val="0"/>
          <w:divBdr>
            <w:top w:val="none" w:sz="0" w:space="0" w:color="auto"/>
            <w:left w:val="none" w:sz="0" w:space="0" w:color="auto"/>
            <w:bottom w:val="none" w:sz="0" w:space="0" w:color="auto"/>
            <w:right w:val="none" w:sz="0" w:space="0" w:color="auto"/>
          </w:divBdr>
        </w:div>
      </w:divsChild>
    </w:div>
    <w:div w:id="1800495973">
      <w:bodyDiv w:val="1"/>
      <w:marLeft w:val="0"/>
      <w:marRight w:val="0"/>
      <w:marTop w:val="0"/>
      <w:marBottom w:val="0"/>
      <w:divBdr>
        <w:top w:val="none" w:sz="0" w:space="0" w:color="auto"/>
        <w:left w:val="none" w:sz="0" w:space="0" w:color="auto"/>
        <w:bottom w:val="none" w:sz="0" w:space="0" w:color="auto"/>
        <w:right w:val="none" w:sz="0" w:space="0" w:color="auto"/>
      </w:divBdr>
    </w:div>
    <w:div w:id="1855268589">
      <w:bodyDiv w:val="1"/>
      <w:marLeft w:val="0"/>
      <w:marRight w:val="0"/>
      <w:marTop w:val="0"/>
      <w:marBottom w:val="0"/>
      <w:divBdr>
        <w:top w:val="none" w:sz="0" w:space="0" w:color="auto"/>
        <w:left w:val="none" w:sz="0" w:space="0" w:color="auto"/>
        <w:bottom w:val="none" w:sz="0" w:space="0" w:color="auto"/>
        <w:right w:val="none" w:sz="0" w:space="0" w:color="auto"/>
      </w:divBdr>
    </w:div>
    <w:div w:id="1865442529">
      <w:bodyDiv w:val="1"/>
      <w:marLeft w:val="0"/>
      <w:marRight w:val="0"/>
      <w:marTop w:val="0"/>
      <w:marBottom w:val="0"/>
      <w:divBdr>
        <w:top w:val="none" w:sz="0" w:space="0" w:color="auto"/>
        <w:left w:val="none" w:sz="0" w:space="0" w:color="auto"/>
        <w:bottom w:val="none" w:sz="0" w:space="0" w:color="auto"/>
        <w:right w:val="none" w:sz="0" w:space="0" w:color="auto"/>
      </w:divBdr>
    </w:div>
    <w:div w:id="1924755950">
      <w:bodyDiv w:val="1"/>
      <w:marLeft w:val="0"/>
      <w:marRight w:val="0"/>
      <w:marTop w:val="0"/>
      <w:marBottom w:val="0"/>
      <w:divBdr>
        <w:top w:val="none" w:sz="0" w:space="0" w:color="auto"/>
        <w:left w:val="none" w:sz="0" w:space="0" w:color="auto"/>
        <w:bottom w:val="none" w:sz="0" w:space="0" w:color="auto"/>
        <w:right w:val="none" w:sz="0" w:space="0" w:color="auto"/>
      </w:divBdr>
    </w:div>
    <w:div w:id="1941140144">
      <w:bodyDiv w:val="1"/>
      <w:marLeft w:val="0"/>
      <w:marRight w:val="0"/>
      <w:marTop w:val="0"/>
      <w:marBottom w:val="0"/>
      <w:divBdr>
        <w:top w:val="none" w:sz="0" w:space="0" w:color="auto"/>
        <w:left w:val="none" w:sz="0" w:space="0" w:color="auto"/>
        <w:bottom w:val="none" w:sz="0" w:space="0" w:color="auto"/>
        <w:right w:val="none" w:sz="0" w:space="0" w:color="auto"/>
      </w:divBdr>
    </w:div>
    <w:div w:id="2031493386">
      <w:bodyDiv w:val="1"/>
      <w:marLeft w:val="0"/>
      <w:marRight w:val="0"/>
      <w:marTop w:val="0"/>
      <w:marBottom w:val="0"/>
      <w:divBdr>
        <w:top w:val="none" w:sz="0" w:space="0" w:color="auto"/>
        <w:left w:val="none" w:sz="0" w:space="0" w:color="auto"/>
        <w:bottom w:val="none" w:sz="0" w:space="0" w:color="auto"/>
        <w:right w:val="none" w:sz="0" w:space="0" w:color="auto"/>
      </w:divBdr>
    </w:div>
    <w:div w:id="2109570744">
      <w:bodyDiv w:val="1"/>
      <w:marLeft w:val="0"/>
      <w:marRight w:val="0"/>
      <w:marTop w:val="0"/>
      <w:marBottom w:val="0"/>
      <w:divBdr>
        <w:top w:val="none" w:sz="0" w:space="0" w:color="auto"/>
        <w:left w:val="none" w:sz="0" w:space="0" w:color="auto"/>
        <w:bottom w:val="none" w:sz="0" w:space="0" w:color="auto"/>
        <w:right w:val="none" w:sz="0" w:space="0" w:color="auto"/>
      </w:divBdr>
    </w:div>
    <w:div w:id="2127001522">
      <w:bodyDiv w:val="1"/>
      <w:marLeft w:val="0"/>
      <w:marRight w:val="0"/>
      <w:marTop w:val="0"/>
      <w:marBottom w:val="0"/>
      <w:divBdr>
        <w:top w:val="none" w:sz="0" w:space="0" w:color="auto"/>
        <w:left w:val="none" w:sz="0" w:space="0" w:color="auto"/>
        <w:bottom w:val="none" w:sz="0" w:space="0" w:color="auto"/>
        <w:right w:val="none" w:sz="0" w:space="0" w:color="auto"/>
      </w:divBdr>
    </w:div>
    <w:div w:id="2142724464">
      <w:bodyDiv w:val="1"/>
      <w:marLeft w:val="0"/>
      <w:marRight w:val="0"/>
      <w:marTop w:val="0"/>
      <w:marBottom w:val="0"/>
      <w:divBdr>
        <w:top w:val="none" w:sz="0" w:space="0" w:color="auto"/>
        <w:left w:val="none" w:sz="0" w:space="0" w:color="auto"/>
        <w:bottom w:val="none" w:sz="0" w:space="0" w:color="auto"/>
        <w:right w:val="none" w:sz="0" w:space="0" w:color="auto"/>
      </w:divBdr>
      <w:divsChild>
        <w:div w:id="1048333913">
          <w:marLeft w:val="547"/>
          <w:marRight w:val="0"/>
          <w:marTop w:val="60"/>
          <w:marBottom w:val="0"/>
          <w:divBdr>
            <w:top w:val="none" w:sz="0" w:space="0" w:color="auto"/>
            <w:left w:val="none" w:sz="0" w:space="0" w:color="auto"/>
            <w:bottom w:val="none" w:sz="0" w:space="0" w:color="auto"/>
            <w:right w:val="none" w:sz="0" w:space="0" w:color="auto"/>
          </w:divBdr>
        </w:div>
        <w:div w:id="1099906777">
          <w:marLeft w:val="547"/>
          <w:marRight w:val="0"/>
          <w:marTop w:val="60"/>
          <w:marBottom w:val="0"/>
          <w:divBdr>
            <w:top w:val="none" w:sz="0" w:space="0" w:color="auto"/>
            <w:left w:val="none" w:sz="0" w:space="0" w:color="auto"/>
            <w:bottom w:val="none" w:sz="0" w:space="0" w:color="auto"/>
            <w:right w:val="none" w:sz="0" w:space="0" w:color="auto"/>
          </w:divBdr>
        </w:div>
        <w:div w:id="1462504018">
          <w:marLeft w:val="547"/>
          <w:marRight w:val="0"/>
          <w:marTop w:val="60"/>
          <w:marBottom w:val="0"/>
          <w:divBdr>
            <w:top w:val="none" w:sz="0" w:space="0" w:color="auto"/>
            <w:left w:val="none" w:sz="0" w:space="0" w:color="auto"/>
            <w:bottom w:val="none" w:sz="0" w:space="0" w:color="auto"/>
            <w:right w:val="none" w:sz="0" w:space="0" w:color="auto"/>
          </w:divBdr>
        </w:div>
        <w:div w:id="1661344109">
          <w:marLeft w:val="547"/>
          <w:marRight w:val="0"/>
          <w:marTop w:val="60"/>
          <w:marBottom w:val="0"/>
          <w:divBdr>
            <w:top w:val="none" w:sz="0" w:space="0" w:color="auto"/>
            <w:left w:val="none" w:sz="0" w:space="0" w:color="auto"/>
            <w:bottom w:val="none" w:sz="0" w:space="0" w:color="auto"/>
            <w:right w:val="none" w:sz="0" w:space="0" w:color="auto"/>
          </w:divBdr>
        </w:div>
        <w:div w:id="2126193196">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ukshan.Kariy@harrow.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arrow.gov.uk/boroughplan" TargetMode="External"/><Relationship Id="rId1" Type="http://schemas.openxmlformats.org/officeDocument/2006/relationships/hyperlink" Target="https://moderngov.harrow.gov.uk/documents/b30095/Supplemental%20Agenda%20Tuesday%2024-May-2022%2018.30%20Cabinet.pdf?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BD2D436F9766D4B8E716AB10FDDF25A" ma:contentTypeVersion="2" ma:contentTypeDescription="Create a new document." ma:contentTypeScope="" ma:versionID="180c5261b7c7129c90ac931299b040d8">
  <xsd:schema xmlns:xsd="http://www.w3.org/2001/XMLSchema" xmlns:xs="http://www.w3.org/2001/XMLSchema" xmlns:p="http://schemas.microsoft.com/office/2006/metadata/properties" xmlns:ns2="533c1146-d434-47d7-aaf5-39a954ffb347" targetNamespace="http://schemas.microsoft.com/office/2006/metadata/properties" ma:root="true" ma:fieldsID="e36b4d6b89b74a6b5182c6444a9efd22" ns2:_="">
    <xsd:import namespace="533c1146-d434-47d7-aaf5-39a954ffb3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c1146-d434-47d7-aaf5-39a954ff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B74D34AC-C5EE-4FD2-B162-E77AB2929EB8}">
  <ds:schemaRefs>
    <ds:schemaRef ds:uri="http://schemas.openxmlformats.org/officeDocument/2006/bibliography"/>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0FDE40-4306-48C7-A550-3913DECD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c1146-d434-47d7-aaf5-39a954ff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4190</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28035</CharactersWithSpaces>
  <SharedDoc>false</SharedDoc>
  <HLinks>
    <vt:vector size="12" baseType="variant">
      <vt:variant>
        <vt:i4>1114192</vt:i4>
      </vt:variant>
      <vt:variant>
        <vt:i4>3</vt:i4>
      </vt:variant>
      <vt:variant>
        <vt:i4>0</vt:i4>
      </vt:variant>
      <vt:variant>
        <vt:i4>5</vt:i4>
      </vt:variant>
      <vt:variant>
        <vt:lpwstr>https://www.harrow.gov.uk/boroughplan</vt:lpwstr>
      </vt:variant>
      <vt:variant>
        <vt:lpwstr/>
      </vt:variant>
      <vt:variant>
        <vt:i4>8257660</vt:i4>
      </vt:variant>
      <vt:variant>
        <vt:i4>0</vt:i4>
      </vt:variant>
      <vt:variant>
        <vt:i4>0</vt:i4>
      </vt:variant>
      <vt:variant>
        <vt:i4>5</vt:i4>
      </vt:variant>
      <vt:variant>
        <vt:lpwstr>https://moderngov.harrow.gov.uk/documents/b30095/Supplemental Agenda Tuesday 24-May-2022 18.30 Cabinet.pdf?T=9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6</cp:revision>
  <cp:lastPrinted>2021-09-28T00:58:00Z</cp:lastPrinted>
  <dcterms:created xsi:type="dcterms:W3CDTF">2023-01-10T10:48:00Z</dcterms:created>
  <dcterms:modified xsi:type="dcterms:W3CDTF">2023-01-11T14:27:00Z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0x0101004BD2D436F9766D4B8E716AB10FDDF25A</vt:lpwstr>
  </property>
  <property fmtid="{D5CDD505-2E9C-101B-9397-08002B2CF9AE}" pid="3" name="TaxKeyword">
    <vt:lpwstr>74;#Cabinet Report Template|b79b58f4-03f4-47dd-bec7-7bae4bc4af23</vt:lpwstr>
  </property>
  <property fmtid="{D5CDD505-2E9C-101B-9397-08002B2CF9AE}" pid="4" name="TaxKeywordTaxHTField">
    <vt:lpwstr>Cabinet Report Template|b79b58f4-03f4-47dd-bec7-7bae4bc4af23</vt:lpwstr>
  </property>
  <property fmtid="{D5CDD505-2E9C-101B-9397-08002B2CF9AE}" pid="5" name="Project">
    <vt:lpwstr/>
  </property>
  <property fmtid="{D5CDD505-2E9C-101B-9397-08002B2CF9AE}" pid="6" name="jd7a697ab38f4277ad74aa5895f18265">
    <vt:lpwstr/>
  </property>
</Properties>
</file>